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C6821" w14:textId="77777777" w:rsidR="00EB132D" w:rsidRPr="00210405" w:rsidRDefault="00EB132D" w:rsidP="00443AD9">
      <w:pPr>
        <w:pStyle w:val="Tekstpodstawowy"/>
        <w:ind w:left="0" w:right="75"/>
        <w:rPr>
          <w:rFonts w:asciiTheme="minorHAnsi" w:hAnsiTheme="minorHAnsi" w:cstheme="minorHAnsi"/>
          <w:color w:val="000000" w:themeColor="text1"/>
        </w:rPr>
      </w:pPr>
    </w:p>
    <w:p w14:paraId="1AB37D47" w14:textId="77777777" w:rsidR="00AD0E04" w:rsidRPr="00210405" w:rsidRDefault="00AD0E04" w:rsidP="00443AD9">
      <w:pPr>
        <w:pStyle w:val="Tekstpodstawowy"/>
        <w:spacing w:before="1"/>
        <w:ind w:left="0" w:right="75"/>
        <w:jc w:val="center"/>
        <w:rPr>
          <w:rFonts w:asciiTheme="minorHAnsi" w:hAnsiTheme="minorHAnsi" w:cstheme="minorHAnsi"/>
          <w:sz w:val="19"/>
        </w:rPr>
      </w:pPr>
    </w:p>
    <w:tbl>
      <w:tblPr>
        <w:tblW w:w="9781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210405" w:rsidRPr="00210405" w14:paraId="2406D56F" w14:textId="77777777" w:rsidTr="003B7661"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C49D" w14:textId="77777777" w:rsidR="00210405" w:rsidRPr="00210405" w:rsidRDefault="00210405" w:rsidP="003B7661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21040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INWESTOR:</w:t>
            </w:r>
          </w:p>
          <w:p w14:paraId="2758A13D" w14:textId="7E7CB8E6" w:rsidR="00510379" w:rsidRPr="002A782C" w:rsidRDefault="00510379" w:rsidP="00510379">
            <w:pPr>
              <w:adjustRightInd w:val="0"/>
              <w:rPr>
                <w:rFonts w:asciiTheme="minorHAnsi" w:hAnsiTheme="minorHAnsi" w:cstheme="minorHAnsi"/>
                <w:b/>
                <w:sz w:val="24"/>
              </w:rPr>
            </w:pPr>
            <w:r w:rsidRPr="002A782C">
              <w:rPr>
                <w:rFonts w:asciiTheme="minorHAnsi" w:hAnsiTheme="minorHAnsi" w:cstheme="minorHAnsi"/>
                <w:b/>
                <w:sz w:val="24"/>
              </w:rPr>
              <w:t>Gmina Morawica</w:t>
            </w:r>
          </w:p>
          <w:p w14:paraId="0E2E71B6" w14:textId="77777777" w:rsidR="00510379" w:rsidRPr="002A782C" w:rsidRDefault="00510379" w:rsidP="00510379">
            <w:pPr>
              <w:adjustRightInd w:val="0"/>
              <w:rPr>
                <w:rFonts w:asciiTheme="minorHAnsi" w:hAnsiTheme="minorHAnsi" w:cstheme="minorHAnsi"/>
                <w:b/>
                <w:sz w:val="24"/>
              </w:rPr>
            </w:pPr>
            <w:r w:rsidRPr="002A782C">
              <w:rPr>
                <w:rFonts w:asciiTheme="minorHAnsi" w:hAnsiTheme="minorHAnsi" w:cstheme="minorHAnsi"/>
                <w:b/>
                <w:sz w:val="24"/>
              </w:rPr>
              <w:t>ul. Spacerowa 7</w:t>
            </w:r>
          </w:p>
          <w:p w14:paraId="26CD10B6" w14:textId="77777777" w:rsidR="00210405" w:rsidRPr="00210405" w:rsidRDefault="00510379" w:rsidP="0051037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2A782C">
              <w:rPr>
                <w:rFonts w:asciiTheme="minorHAnsi" w:eastAsia="Verdana" w:hAnsiTheme="minorHAnsi" w:cstheme="minorHAnsi"/>
                <w:b/>
                <w:kern w:val="0"/>
                <w:szCs w:val="22"/>
                <w:lang w:eastAsia="en-US" w:bidi="ar-SA"/>
              </w:rPr>
              <w:t xml:space="preserve">26-026 Morawica </w:t>
            </w:r>
          </w:p>
        </w:tc>
      </w:tr>
      <w:tr w:rsidR="00210405" w:rsidRPr="00210405" w14:paraId="292F6B9C" w14:textId="77777777" w:rsidTr="003B7661"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6C975" w14:textId="77777777" w:rsidR="00210405" w:rsidRPr="00210405" w:rsidRDefault="00210405" w:rsidP="003B7661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21040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NAZWA ZAMIERZENIA BUDOWLANEGO:</w:t>
            </w:r>
          </w:p>
          <w:p w14:paraId="11DB67F2" w14:textId="77777777" w:rsidR="00210405" w:rsidRPr="00210405" w:rsidRDefault="00510379" w:rsidP="003B7661">
            <w:pPr>
              <w:pStyle w:val="Standard"/>
              <w:shd w:val="clear" w:color="auto" w:fill="FFFFFF"/>
              <w:tabs>
                <w:tab w:val="left" w:pos="1890"/>
                <w:tab w:val="left" w:pos="3675"/>
              </w:tabs>
              <w:jc w:val="both"/>
              <w:rPr>
                <w:rFonts w:asciiTheme="minorHAnsi" w:eastAsia="Lucida Sans Unicode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2A782C">
              <w:rPr>
                <w:rFonts w:asciiTheme="minorHAnsi" w:eastAsiaTheme="minorHAnsi" w:hAnsiTheme="minorHAnsi" w:cstheme="minorHAnsi"/>
                <w:b/>
                <w:bCs/>
                <w:lang w:eastAsia="en-US" w:bidi="ar-SA"/>
              </w:rPr>
              <w:t>BUDOWA PRZEDSZKOLA W BILCZY NA DZ. NR EWID. 961/169, 961/131, 961/132, 961/133, OBRĘB 0002 BILCZA, GM. MORAWICA, POWIAT KIELECKI W RAMACH ZADANIA: ,,BUDOWA PRZEDSZKOLA W BILCZY WRAZ Z DOPOSAŻENIEM ISTNIEJĄCYCH ODDZIAŁÓW PRZEDSZKOLNYCH W GMINIE MORAWICA”</w:t>
            </w:r>
          </w:p>
        </w:tc>
      </w:tr>
      <w:tr w:rsidR="00210405" w:rsidRPr="00210405" w14:paraId="070ED07F" w14:textId="77777777" w:rsidTr="003B7661">
        <w:trPr>
          <w:trHeight w:val="678"/>
        </w:trPr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F818" w14:textId="77777777" w:rsidR="00210405" w:rsidRPr="00210405" w:rsidRDefault="00210405" w:rsidP="003B7661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210405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SPECYFIKACJA TECHNICZNA WYKONANIA I ODBIORU </w:t>
            </w:r>
          </w:p>
          <w:p w14:paraId="001D81F2" w14:textId="77777777" w:rsidR="00210405" w:rsidRPr="00210405" w:rsidRDefault="00210405" w:rsidP="003B7661">
            <w:pPr>
              <w:pStyle w:val="Standard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210405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ROBÓT BUDOWLANYCH </w:t>
            </w:r>
          </w:p>
        </w:tc>
      </w:tr>
      <w:tr w:rsidR="00210405" w:rsidRPr="00210405" w14:paraId="3E8FC4E1" w14:textId="77777777" w:rsidTr="003B7661">
        <w:trPr>
          <w:trHeight w:val="3291"/>
        </w:trPr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158BA" w14:textId="77777777" w:rsidR="00510379" w:rsidRPr="008C7ECA" w:rsidRDefault="00510379" w:rsidP="00510379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8C7EC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ADRES INWESTYCJI:</w:t>
            </w:r>
            <w:r w:rsidRPr="008C7ECA"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</w:p>
          <w:tbl>
            <w:tblPr>
              <w:tblStyle w:val="Tabela-Siatka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7"/>
              <w:gridCol w:w="3400"/>
              <w:gridCol w:w="4965"/>
              <w:gridCol w:w="992"/>
            </w:tblGrid>
            <w:tr w:rsidR="00510379" w:rsidRPr="008C7ECA" w14:paraId="47BDBAF8" w14:textId="77777777" w:rsidTr="0007181B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5795AF73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DZIAŁKA:</w:t>
                  </w:r>
                </w:p>
              </w:tc>
              <w:tc>
                <w:tcPr>
                  <w:tcW w:w="5957" w:type="dxa"/>
                  <w:gridSpan w:val="2"/>
                </w:tcPr>
                <w:p w14:paraId="2478C22B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782C">
                    <w:rPr>
                      <w:rFonts w:asciiTheme="minorHAnsi" w:hAnsiTheme="minorHAnsi" w:cstheme="minorHAnsi"/>
                    </w:rPr>
                    <w:t>NR EWID. 961/169, 961/131, 961/132, 961/133</w:t>
                  </w:r>
                </w:p>
              </w:tc>
            </w:tr>
            <w:tr w:rsidR="00510379" w:rsidRPr="008C7ECA" w14:paraId="79AC6A84" w14:textId="77777777" w:rsidTr="0007181B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54BAA3A5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MIEJSCOWOŚĆ:</w:t>
                  </w:r>
                </w:p>
              </w:tc>
              <w:tc>
                <w:tcPr>
                  <w:tcW w:w="5957" w:type="dxa"/>
                  <w:gridSpan w:val="2"/>
                </w:tcPr>
                <w:p w14:paraId="1724CBD5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BILCZA</w:t>
                  </w:r>
                </w:p>
              </w:tc>
            </w:tr>
            <w:tr w:rsidR="00510379" w:rsidRPr="008C7ECA" w14:paraId="2CC2FB04" w14:textId="77777777" w:rsidTr="0007181B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667F365F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OBRĘB: 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14:paraId="3955D46C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0002 BILCZA</w:t>
                  </w:r>
                </w:p>
              </w:tc>
            </w:tr>
            <w:tr w:rsidR="00510379" w:rsidRPr="008C7ECA" w14:paraId="2804D41B" w14:textId="77777777" w:rsidTr="0007181B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4F24A2BE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JEDNOSTKA EWIDENCYJNA: 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14:paraId="4B842824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26</w:t>
                  </w:r>
                  <w:r>
                    <w:rPr>
                      <w:rFonts w:asciiTheme="minorHAnsi" w:hAnsiTheme="minorHAnsi" w:cstheme="minorHAnsi"/>
                    </w:rPr>
                    <w:t>0412_5 MORAWICA</w:t>
                  </w:r>
                </w:p>
              </w:tc>
            </w:tr>
            <w:tr w:rsidR="00510379" w:rsidRPr="008C7ECA" w14:paraId="15D4D9E1" w14:textId="77777777" w:rsidTr="0007181B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5C49E048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GMINA: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14:paraId="192E0725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MORAWICA</w:t>
                  </w:r>
                </w:p>
              </w:tc>
            </w:tr>
            <w:tr w:rsidR="00510379" w:rsidRPr="008C7ECA" w14:paraId="30448061" w14:textId="77777777" w:rsidTr="0007181B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21B75280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POWIAT:</w:t>
                  </w:r>
                  <w:r w:rsidRPr="002A3114">
                    <w:rPr>
                      <w:rFonts w:asciiTheme="minorHAnsi" w:hAnsiTheme="minorHAnsi" w:cstheme="minorHAnsi"/>
                    </w:rPr>
                    <w:tab/>
                  </w:r>
                </w:p>
              </w:tc>
              <w:tc>
                <w:tcPr>
                  <w:tcW w:w="5957" w:type="dxa"/>
                  <w:gridSpan w:val="2"/>
                </w:tcPr>
                <w:p w14:paraId="10E4B01A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KIELECKI</w:t>
                  </w:r>
                </w:p>
              </w:tc>
            </w:tr>
            <w:tr w:rsidR="00510379" w:rsidRPr="008C7ECA" w14:paraId="45049118" w14:textId="77777777" w:rsidTr="0007181B">
              <w:trPr>
                <w:gridBefore w:val="1"/>
                <w:wBefore w:w="1167" w:type="dxa"/>
                <w:trHeight w:val="60"/>
              </w:trPr>
              <w:tc>
                <w:tcPr>
                  <w:tcW w:w="3400" w:type="dxa"/>
                </w:tcPr>
                <w:p w14:paraId="4EFDE626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WOJEWÓDZTWO:</w:t>
                  </w:r>
                </w:p>
              </w:tc>
              <w:tc>
                <w:tcPr>
                  <w:tcW w:w="5957" w:type="dxa"/>
                  <w:gridSpan w:val="2"/>
                </w:tcPr>
                <w:p w14:paraId="7D7322A2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ŚWIĘTOKRZYSKIE</w:t>
                  </w:r>
                </w:p>
              </w:tc>
            </w:tr>
            <w:tr w:rsidR="00510379" w:rsidRPr="008C7ECA" w14:paraId="51AF6977" w14:textId="77777777" w:rsidTr="0007181B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5B3F2374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DZIAŁKA:</w:t>
                  </w:r>
                </w:p>
              </w:tc>
              <w:tc>
                <w:tcPr>
                  <w:tcW w:w="5957" w:type="dxa"/>
                  <w:gridSpan w:val="2"/>
                </w:tcPr>
                <w:p w14:paraId="203FFBE6" w14:textId="77777777" w:rsidR="00510379" w:rsidRPr="002A3114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782C">
                    <w:rPr>
                      <w:rFonts w:asciiTheme="minorHAnsi" w:hAnsiTheme="minorHAnsi" w:cstheme="minorHAnsi"/>
                    </w:rPr>
                    <w:t>NR EWID. 961/169, 961/131, 961/132, 961/133</w:t>
                  </w:r>
                </w:p>
              </w:tc>
            </w:tr>
            <w:tr w:rsidR="00510379" w:rsidRPr="008C7ECA" w14:paraId="28F0C787" w14:textId="77777777" w:rsidTr="0007181B">
              <w:trPr>
                <w:gridAfter w:val="1"/>
                <w:wAfter w:w="992" w:type="dxa"/>
              </w:trPr>
              <w:tc>
                <w:tcPr>
                  <w:tcW w:w="4567" w:type="dxa"/>
                  <w:gridSpan w:val="2"/>
                </w:tcPr>
                <w:p w14:paraId="516DDBF0" w14:textId="77777777" w:rsidR="00510379" w:rsidRPr="008C7ECA" w:rsidRDefault="00510379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</w:pPr>
                  <w:r w:rsidRPr="008C7ECA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KATEGORIA OBIEKTU BUDOWLANEGO:</w:t>
                  </w:r>
                </w:p>
              </w:tc>
              <w:tc>
                <w:tcPr>
                  <w:tcW w:w="4965" w:type="dxa"/>
                </w:tcPr>
                <w:p w14:paraId="7E9B5AA1" w14:textId="09AEC38D" w:rsidR="00510379" w:rsidRPr="008C7ECA" w:rsidRDefault="00313ABA" w:rsidP="0007181B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I</w:t>
                  </w:r>
                  <w:r w:rsidR="00510379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X</w:t>
                  </w:r>
                  <w:r w:rsidR="00510379" w:rsidRPr="002A3114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 xml:space="preserve"> – BUDYNKI </w:t>
                  </w:r>
                  <w:r w:rsidR="00510379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KULTURY, NAUKI I OŚWIATY</w:t>
                  </w:r>
                </w:p>
              </w:tc>
            </w:tr>
          </w:tbl>
          <w:p w14:paraId="38235565" w14:textId="77777777" w:rsidR="00210405" w:rsidRPr="00210405" w:rsidRDefault="00210405" w:rsidP="003B766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C80C6A1" w14:textId="77777777" w:rsidR="00AD0E04" w:rsidRPr="00210405" w:rsidRDefault="00AD0E04" w:rsidP="00443AD9">
      <w:pPr>
        <w:pStyle w:val="Tytu"/>
        <w:spacing w:line="242" w:lineRule="auto"/>
        <w:ind w:left="0" w:right="75" w:firstLine="0"/>
        <w:jc w:val="center"/>
        <w:rPr>
          <w:rFonts w:asciiTheme="minorHAnsi" w:hAnsiTheme="minorHAnsi" w:cstheme="minorHAnsi"/>
        </w:rPr>
      </w:pPr>
    </w:p>
    <w:p w14:paraId="6350CEA0" w14:textId="77777777" w:rsidR="00AD0E04" w:rsidRDefault="00AD0E04" w:rsidP="00443AD9">
      <w:pPr>
        <w:pStyle w:val="Tekstpodstawowy"/>
        <w:spacing w:before="4"/>
        <w:ind w:left="0" w:right="75"/>
        <w:jc w:val="center"/>
        <w:rPr>
          <w:rFonts w:asciiTheme="minorHAnsi" w:hAnsiTheme="minorHAnsi" w:cstheme="minorHAnsi"/>
          <w:b/>
          <w:sz w:val="42"/>
        </w:rPr>
      </w:pPr>
    </w:p>
    <w:p w14:paraId="2E13BC8C" w14:textId="77777777" w:rsidR="00510379" w:rsidRDefault="00510379" w:rsidP="00443AD9">
      <w:pPr>
        <w:pStyle w:val="Tekstpodstawowy"/>
        <w:spacing w:before="4"/>
        <w:ind w:left="0" w:right="75"/>
        <w:jc w:val="center"/>
        <w:rPr>
          <w:rFonts w:asciiTheme="minorHAnsi" w:hAnsiTheme="minorHAnsi" w:cstheme="minorHAnsi"/>
          <w:b/>
          <w:sz w:val="42"/>
        </w:rPr>
      </w:pPr>
    </w:p>
    <w:p w14:paraId="46351A54" w14:textId="77777777" w:rsidR="00510379" w:rsidRDefault="00510379" w:rsidP="00443AD9">
      <w:pPr>
        <w:pStyle w:val="Tekstpodstawowy"/>
        <w:spacing w:before="4"/>
        <w:ind w:left="0" w:right="75"/>
        <w:jc w:val="center"/>
        <w:rPr>
          <w:rFonts w:asciiTheme="minorHAnsi" w:hAnsiTheme="minorHAnsi" w:cstheme="minorHAnsi"/>
          <w:b/>
          <w:sz w:val="42"/>
        </w:rPr>
      </w:pPr>
    </w:p>
    <w:p w14:paraId="7E3FEFB0" w14:textId="77777777" w:rsidR="00510379" w:rsidRPr="00210405" w:rsidRDefault="00510379" w:rsidP="00443AD9">
      <w:pPr>
        <w:pStyle w:val="Tekstpodstawowy"/>
        <w:spacing w:before="4"/>
        <w:ind w:left="0" w:right="75"/>
        <w:jc w:val="center"/>
        <w:rPr>
          <w:rFonts w:asciiTheme="minorHAnsi" w:hAnsiTheme="minorHAnsi" w:cstheme="minorHAnsi"/>
          <w:b/>
          <w:sz w:val="42"/>
        </w:rPr>
      </w:pPr>
    </w:p>
    <w:p w14:paraId="75DB37B5" w14:textId="77777777" w:rsidR="00AD0E04" w:rsidRPr="00210405" w:rsidRDefault="00AD0E04" w:rsidP="00443AD9">
      <w:pPr>
        <w:ind w:right="75"/>
        <w:jc w:val="center"/>
        <w:rPr>
          <w:rFonts w:asciiTheme="minorHAnsi" w:hAnsiTheme="minorHAnsi" w:cstheme="minorHAnsi"/>
          <w:b/>
        </w:rPr>
      </w:pPr>
      <w:r w:rsidRPr="00210405">
        <w:rPr>
          <w:rFonts w:asciiTheme="minorHAnsi" w:hAnsiTheme="minorHAnsi" w:cstheme="minorHAnsi"/>
          <w:b/>
        </w:rPr>
        <w:t>ST</w:t>
      </w:r>
      <w:r w:rsidR="00571B7D" w:rsidRPr="00210405">
        <w:rPr>
          <w:rFonts w:asciiTheme="minorHAnsi" w:hAnsiTheme="minorHAnsi" w:cstheme="minorHAnsi"/>
          <w:b/>
        </w:rPr>
        <w:t>-0</w:t>
      </w:r>
      <w:r w:rsidR="00614240" w:rsidRPr="00210405">
        <w:rPr>
          <w:rFonts w:asciiTheme="minorHAnsi" w:hAnsiTheme="minorHAnsi" w:cstheme="minorHAnsi"/>
          <w:b/>
        </w:rPr>
        <w:t>1</w:t>
      </w:r>
      <w:r w:rsidR="00571B7D" w:rsidRPr="00210405">
        <w:rPr>
          <w:rFonts w:asciiTheme="minorHAnsi" w:hAnsiTheme="minorHAnsi" w:cstheme="minorHAnsi"/>
          <w:b/>
        </w:rPr>
        <w:t>.0</w:t>
      </w:r>
      <w:r w:rsidR="00614240" w:rsidRPr="00210405">
        <w:rPr>
          <w:rFonts w:asciiTheme="minorHAnsi" w:hAnsiTheme="minorHAnsi" w:cstheme="minorHAnsi"/>
          <w:b/>
        </w:rPr>
        <w:t>2</w:t>
      </w:r>
      <w:r w:rsidR="00571B7D" w:rsidRPr="00210405">
        <w:rPr>
          <w:rFonts w:asciiTheme="minorHAnsi" w:hAnsiTheme="minorHAnsi" w:cstheme="minorHAnsi"/>
          <w:b/>
        </w:rPr>
        <w:t xml:space="preserve"> </w:t>
      </w:r>
      <w:r w:rsidR="000C13CC" w:rsidRPr="00210405">
        <w:rPr>
          <w:rFonts w:asciiTheme="minorHAnsi" w:eastAsiaTheme="minorHAnsi" w:hAnsiTheme="minorHAnsi" w:cstheme="minorHAnsi"/>
          <w:b/>
        </w:rPr>
        <w:t>TYNKOWANIE</w:t>
      </w:r>
    </w:p>
    <w:p w14:paraId="75F515DC" w14:textId="77777777" w:rsidR="00AD0E04" w:rsidRPr="00210405" w:rsidRDefault="00AD0E04" w:rsidP="00443AD9">
      <w:pPr>
        <w:pStyle w:val="Tekstpodstawowy"/>
        <w:spacing w:before="4"/>
        <w:ind w:left="0" w:right="75"/>
        <w:jc w:val="center"/>
        <w:rPr>
          <w:rFonts w:asciiTheme="minorHAnsi" w:hAnsiTheme="minorHAnsi" w:cstheme="minorHAnsi"/>
          <w:b/>
        </w:rPr>
      </w:pPr>
    </w:p>
    <w:p w14:paraId="5654838B" w14:textId="77777777" w:rsidR="001E3C54" w:rsidRPr="00210405" w:rsidRDefault="001E3C54" w:rsidP="001E3C54">
      <w:pPr>
        <w:widowControl/>
        <w:adjustRightInd w:val="0"/>
        <w:ind w:left="142"/>
        <w:jc w:val="center"/>
        <w:rPr>
          <w:rFonts w:asciiTheme="minorHAnsi" w:hAnsiTheme="minorHAnsi" w:cstheme="minorHAnsi"/>
          <w:sz w:val="20"/>
          <w:szCs w:val="20"/>
        </w:rPr>
      </w:pPr>
      <w:r w:rsidRPr="00210405">
        <w:rPr>
          <w:rFonts w:asciiTheme="minorHAnsi" w:hAnsiTheme="minorHAnsi" w:cstheme="minorHAnsi"/>
          <w:sz w:val="20"/>
          <w:szCs w:val="20"/>
        </w:rPr>
        <w:t xml:space="preserve">KOD CPV </w:t>
      </w:r>
      <w:r w:rsidR="000C13CC" w:rsidRPr="00210405">
        <w:rPr>
          <w:rFonts w:asciiTheme="minorHAnsi" w:eastAsia="CIDFont+F1" w:hAnsiTheme="minorHAnsi" w:cstheme="minorHAnsi"/>
          <w:sz w:val="20"/>
          <w:szCs w:val="20"/>
        </w:rPr>
        <w:t>45410000-4</w:t>
      </w:r>
    </w:p>
    <w:p w14:paraId="0347579F" w14:textId="77777777" w:rsidR="00EB132D" w:rsidRPr="00210405" w:rsidRDefault="00EB132D" w:rsidP="00443AD9">
      <w:pPr>
        <w:pStyle w:val="Tekstpodstawowy"/>
        <w:ind w:left="0" w:right="75"/>
        <w:rPr>
          <w:rFonts w:asciiTheme="minorHAnsi" w:hAnsiTheme="minorHAnsi" w:cstheme="minorHAnsi"/>
          <w:color w:val="000000" w:themeColor="text1"/>
        </w:rPr>
      </w:pPr>
    </w:p>
    <w:p w14:paraId="62F9265B" w14:textId="77777777" w:rsidR="00EB132D" w:rsidRDefault="00EB132D" w:rsidP="00443AD9">
      <w:pPr>
        <w:pStyle w:val="Nagwek11"/>
        <w:spacing w:before="221"/>
        <w:ind w:left="0" w:right="75"/>
        <w:jc w:val="both"/>
        <w:rPr>
          <w:rFonts w:asciiTheme="minorHAnsi" w:hAnsiTheme="minorHAnsi" w:cstheme="minorHAnsi"/>
          <w:color w:val="000000" w:themeColor="text1"/>
        </w:rPr>
      </w:pPr>
    </w:p>
    <w:p w14:paraId="0B4168BA" w14:textId="77777777" w:rsidR="00210405" w:rsidRDefault="00210405" w:rsidP="00443AD9">
      <w:pPr>
        <w:pStyle w:val="Nagwek11"/>
        <w:spacing w:before="221"/>
        <w:ind w:left="0" w:right="75"/>
        <w:jc w:val="both"/>
        <w:rPr>
          <w:rFonts w:asciiTheme="minorHAnsi" w:hAnsiTheme="minorHAnsi" w:cstheme="minorHAnsi"/>
          <w:color w:val="000000" w:themeColor="text1"/>
        </w:rPr>
      </w:pPr>
    </w:p>
    <w:p w14:paraId="675B4EC1" w14:textId="77777777" w:rsidR="00210405" w:rsidRPr="00210405" w:rsidRDefault="00210405" w:rsidP="00443AD9">
      <w:pPr>
        <w:pStyle w:val="Nagwek11"/>
        <w:spacing w:before="221"/>
        <w:ind w:left="0" w:right="75"/>
        <w:jc w:val="both"/>
        <w:rPr>
          <w:rFonts w:asciiTheme="minorHAnsi" w:hAnsiTheme="minorHAnsi" w:cstheme="minorHAnsi"/>
          <w:color w:val="000000" w:themeColor="text1"/>
        </w:rPr>
      </w:pPr>
    </w:p>
    <w:p w14:paraId="34E9423E" w14:textId="77777777" w:rsidR="00E76ABD" w:rsidRPr="00210405" w:rsidRDefault="00E76ABD" w:rsidP="00443AD9">
      <w:pPr>
        <w:pStyle w:val="Tekstpodstawowy"/>
        <w:ind w:left="0" w:right="75"/>
        <w:rPr>
          <w:rFonts w:asciiTheme="minorHAnsi" w:hAnsiTheme="minorHAnsi" w:cstheme="minorHAnsi"/>
        </w:rPr>
      </w:pPr>
    </w:p>
    <w:p w14:paraId="739F0F39" w14:textId="77777777" w:rsidR="00E76ABD" w:rsidRPr="00210405" w:rsidRDefault="00E76ABD" w:rsidP="00443AD9">
      <w:pPr>
        <w:pStyle w:val="Tekstpodstawowy"/>
        <w:spacing w:before="6"/>
        <w:ind w:left="0" w:right="75"/>
        <w:rPr>
          <w:rFonts w:asciiTheme="minorHAnsi" w:hAnsiTheme="minorHAnsi" w:cstheme="minorHAnsi"/>
          <w:sz w:val="19"/>
        </w:rPr>
      </w:pPr>
    </w:p>
    <w:p w14:paraId="38180195" w14:textId="77777777" w:rsidR="00E76ABD" w:rsidRPr="00210405" w:rsidRDefault="00E76ABD" w:rsidP="00443AD9">
      <w:pPr>
        <w:spacing w:before="100"/>
        <w:ind w:right="75"/>
        <w:jc w:val="both"/>
        <w:rPr>
          <w:rFonts w:asciiTheme="minorHAnsi" w:hAnsiTheme="minorHAnsi" w:cstheme="minorHAnsi"/>
          <w:b/>
        </w:rPr>
        <w:sectPr w:rsidR="00E76ABD" w:rsidRPr="00210405" w:rsidSect="007A21E4">
          <w:headerReference w:type="default" r:id="rId8"/>
          <w:footerReference w:type="default" r:id="rId9"/>
          <w:pgSz w:w="11910" w:h="16840"/>
          <w:pgMar w:top="1440" w:right="1080" w:bottom="1440" w:left="1080" w:header="839" w:footer="610" w:gutter="0"/>
          <w:cols w:space="708"/>
          <w:docGrid w:linePitch="299"/>
        </w:sectPr>
      </w:pPr>
    </w:p>
    <w:sdt>
      <w:sdtPr>
        <w:rPr>
          <w:rFonts w:asciiTheme="minorHAnsi" w:eastAsia="Verdana" w:hAnsiTheme="minorHAnsi" w:cstheme="minorHAnsi"/>
          <w:b w:val="0"/>
          <w:bCs w:val="0"/>
          <w:color w:val="auto"/>
          <w:sz w:val="22"/>
          <w:szCs w:val="22"/>
        </w:rPr>
        <w:id w:val="24626353"/>
        <w:docPartObj>
          <w:docPartGallery w:val="Table of Contents"/>
          <w:docPartUnique/>
        </w:docPartObj>
      </w:sdtPr>
      <w:sdtEndPr/>
      <w:sdtContent>
        <w:p w14:paraId="0C017EFC" w14:textId="77777777" w:rsidR="001820A0" w:rsidRPr="00210405" w:rsidRDefault="001820A0" w:rsidP="00B95410">
          <w:pPr>
            <w:pStyle w:val="Nagwekspisutreci"/>
            <w:ind w:left="142" w:hanging="142"/>
            <w:jc w:val="both"/>
            <w:rPr>
              <w:rFonts w:asciiTheme="minorHAnsi" w:hAnsiTheme="minorHAnsi" w:cstheme="minorHAnsi"/>
              <w:color w:val="000000" w:themeColor="text1"/>
              <w:sz w:val="24"/>
              <w:szCs w:val="24"/>
            </w:rPr>
          </w:pPr>
          <w:r w:rsidRPr="00210405">
            <w:rPr>
              <w:rFonts w:asciiTheme="minorHAnsi" w:hAnsiTheme="minorHAnsi" w:cstheme="minorHAnsi"/>
              <w:color w:val="000000" w:themeColor="text1"/>
              <w:sz w:val="24"/>
              <w:szCs w:val="24"/>
            </w:rPr>
            <w:t>S</w:t>
          </w:r>
          <w:r w:rsidR="0017123D" w:rsidRPr="00210405">
            <w:rPr>
              <w:rFonts w:asciiTheme="minorHAnsi" w:hAnsiTheme="minorHAnsi" w:cstheme="minorHAnsi"/>
              <w:color w:val="000000" w:themeColor="text1"/>
              <w:sz w:val="24"/>
              <w:szCs w:val="24"/>
            </w:rPr>
            <w:t>PIS TREŚCI</w:t>
          </w:r>
        </w:p>
        <w:p w14:paraId="30713276" w14:textId="0E9990B3" w:rsidR="00B95410" w:rsidRPr="00210405" w:rsidRDefault="00091A4B" w:rsidP="00B95410">
          <w:pPr>
            <w:pStyle w:val="Spistreci2"/>
            <w:ind w:hanging="14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</w:rPr>
          </w:pPr>
          <w:r w:rsidRPr="00210405">
            <w:rPr>
              <w:rFonts w:asciiTheme="minorHAnsi" w:hAnsiTheme="minorHAnsi" w:cstheme="minorHAnsi"/>
              <w:w w:val="100"/>
            </w:rPr>
            <w:fldChar w:fldCharType="begin"/>
          </w:r>
          <w:r w:rsidR="001820A0" w:rsidRPr="00210405">
            <w:rPr>
              <w:rFonts w:asciiTheme="minorHAnsi" w:hAnsiTheme="minorHAnsi" w:cstheme="minorHAnsi"/>
              <w:w w:val="100"/>
            </w:rPr>
            <w:instrText xml:space="preserve"> TOC \o "1-3" \h \z \u </w:instrText>
          </w:r>
          <w:r w:rsidRPr="00210405">
            <w:rPr>
              <w:rFonts w:asciiTheme="minorHAnsi" w:hAnsiTheme="minorHAnsi" w:cstheme="minorHAnsi"/>
              <w:w w:val="100"/>
            </w:rPr>
            <w:fldChar w:fldCharType="separate"/>
          </w:r>
          <w:hyperlink w:anchor="_Toc152672409" w:history="1">
            <w:r w:rsidR="00B95410" w:rsidRPr="00210405">
              <w:rPr>
                <w:rStyle w:val="Hipercze"/>
                <w:rFonts w:asciiTheme="minorHAnsi" w:hAnsiTheme="minorHAnsi" w:cstheme="minorHAnsi"/>
                <w:w w:val="100"/>
              </w:rPr>
              <w:t>1</w:t>
            </w:r>
            <w:r w:rsidR="00B95410" w:rsidRPr="00210405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</w:rPr>
              <w:tab/>
            </w:r>
            <w:r w:rsidR="00B95410" w:rsidRPr="00210405">
              <w:rPr>
                <w:rStyle w:val="Hipercze"/>
                <w:rFonts w:asciiTheme="minorHAnsi" w:hAnsiTheme="minorHAnsi" w:cstheme="minorHAnsi"/>
                <w:w w:val="100"/>
              </w:rPr>
              <w:t>WSTĘP</w:t>
            </w:r>
            <w:r w:rsidR="00B95410"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="00B95410"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_Toc152672409 \h </w:instrTex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1A99317" w14:textId="7DE2DBDC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10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1.1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Przedmiot ST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_Toc152672410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617C9200" w14:textId="0295E8A7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11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1.2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Zakres stosowania ST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_Toc152672411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2F9F022" w14:textId="5DF0C784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12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1.3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Przedmiot i zakres robót objętych ST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_Toc152672412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97DF708" w14:textId="4C503481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13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1.4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Określenia podstawowe, definicje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_Toc152672413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07ACDF9" w14:textId="297F5B46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14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1.5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Ogólne wymagania dotyczące robót tynkarskich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_Toc152672414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23C6855" w14:textId="64BE2F62" w:rsidR="00B95410" w:rsidRPr="00210405" w:rsidRDefault="00B95410" w:rsidP="00B95410">
          <w:pPr>
            <w:pStyle w:val="Spistreci2"/>
            <w:ind w:hanging="14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</w:rPr>
          </w:pPr>
          <w:hyperlink w:anchor="_Toc152672415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2</w:t>
            </w:r>
            <w:r w:rsidRPr="00210405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MATERIAŁY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_Toc152672415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627B320F" w14:textId="1DB3EA23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16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2.1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Ogólne wymagania dotyczące właściwości materiałów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_Toc152672416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2B3C6318" w14:textId="5B63959A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17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2.2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Rodzaje materiałów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_Toc152672417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4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6B261B1" w14:textId="40EFA027" w:rsidR="00B95410" w:rsidRPr="00210405" w:rsidRDefault="00B95410" w:rsidP="00B95410">
          <w:pPr>
            <w:pStyle w:val="Spistreci3"/>
            <w:ind w:left="0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21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2.3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Warunki przyjęcia na budowę materiałów i wyrobów do robót tynkarskich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_Toc152672421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5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45A9233" w14:textId="7C65E9F2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22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2.4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Warunki przechowywania materiałów i wyrobów do robót tynkarskich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_Toc152672422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5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61A792A1" w14:textId="0DB02349" w:rsidR="00B95410" w:rsidRPr="00210405" w:rsidRDefault="00B95410" w:rsidP="00B95410">
          <w:pPr>
            <w:pStyle w:val="Spistreci2"/>
            <w:ind w:hanging="14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</w:rPr>
          </w:pPr>
          <w:hyperlink w:anchor="_Toc152672423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3</w:t>
            </w:r>
            <w:r w:rsidRPr="00210405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SPRZĘT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_Toc152672423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5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4B11E1A" w14:textId="5AA4FFBD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24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3.1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Ogólne wymagania dotyczące sprzętu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_Toc152672424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5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9DCAFB3" w14:textId="554C1210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25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3.2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Sprzęt do wykonywania tynków zwykłych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_Toc152672425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324D415E" w14:textId="45DC7D02" w:rsidR="00B95410" w:rsidRPr="00210405" w:rsidRDefault="00B95410" w:rsidP="00B95410">
          <w:pPr>
            <w:pStyle w:val="Spistreci2"/>
            <w:ind w:hanging="14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</w:rPr>
          </w:pPr>
          <w:hyperlink w:anchor="_Toc152672426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4</w:t>
            </w:r>
            <w:r w:rsidRPr="00210405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TRANSPORT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_Toc152672426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58D176BC" w14:textId="48B7F68E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27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4.1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Ogólne wymagania dotyczące transportu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_Toc152672427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6C4DDFD" w14:textId="78A59F38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28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4.2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Transport materiałów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_Toc152672428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9852EFD" w14:textId="3CAB1FF5" w:rsidR="00B95410" w:rsidRPr="00210405" w:rsidRDefault="00B95410" w:rsidP="00B95410">
          <w:pPr>
            <w:pStyle w:val="Spistreci2"/>
            <w:ind w:hanging="14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</w:rPr>
          </w:pPr>
          <w:hyperlink w:anchor="_Toc152672429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5</w:t>
            </w:r>
            <w:r w:rsidRPr="00210405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WYKONANIE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_Toc152672429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5689853" w14:textId="6EFE0BF6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30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5.1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Ogólne zasady wykonania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_Toc152672430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18A857BC" w14:textId="4784AE2C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31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5.2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Warunki przystąpienia do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_Toc152672431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D3A87E3" w14:textId="4403A009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32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5.3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Przygotowanie podłoża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_Toc152672432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6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197BD8F9" w14:textId="009E7582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33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5.4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Wykonywanie tynków zwykłych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_Toc152672433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7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3F3F8334" w14:textId="01FB6C9C" w:rsidR="00B95410" w:rsidRPr="00210405" w:rsidRDefault="00B95410" w:rsidP="00B95410">
          <w:pPr>
            <w:pStyle w:val="Spistreci2"/>
            <w:ind w:hanging="14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</w:rPr>
          </w:pPr>
          <w:hyperlink w:anchor="_Toc152672434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6</w:t>
            </w:r>
            <w:r w:rsidRPr="00210405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KONTROLA JAKOŚCI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_Toc152672434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7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29924F5" w14:textId="120D61B5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35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6.1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Ogólne zasady kontroli jakości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_Toc152672435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7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82B6DEC" w14:textId="50507E56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36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6.2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Badania przed przystąpieniem do robót tynkowych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_Toc152672436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7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524C2F0" w14:textId="42437EBA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37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6.2.1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Badania materiałów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_Toc152672437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7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2E57579E" w14:textId="5F426942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38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6.2.2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Badania przygotowania podłoży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_Toc152672438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7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67C9077C" w14:textId="7DD28A53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39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6.3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Badania w czasie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_Toc152672439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7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26311E01" w14:textId="6A0EA00B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40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6.4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Badania w czasie odbioru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_Toc152672440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8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558CCCD" w14:textId="09BB3156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41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6.4.1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Zakres i warunki wykonywania badań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_Toc152672441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8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AB5B667" w14:textId="289E9BD5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42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6.4.2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Opis badań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_Toc152672442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8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282376C5" w14:textId="3FAA8FBE" w:rsidR="00B95410" w:rsidRPr="00210405" w:rsidRDefault="00B95410" w:rsidP="00B95410">
          <w:pPr>
            <w:pStyle w:val="Spistreci2"/>
            <w:ind w:hanging="14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</w:rPr>
          </w:pPr>
          <w:hyperlink w:anchor="_Toc152672443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7</w:t>
            </w:r>
            <w:r w:rsidRPr="00210405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OBMIAR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_Toc152672443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9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3902606" w14:textId="350DBEA1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44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7.1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Ogólne zasady przedmiaru i obmiaru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_Toc152672444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9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C0FB8CD" w14:textId="0404E492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45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7.2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Szczegółowe zasady obmiaru robót tynkowych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_Toc152672445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9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2317DCC" w14:textId="78BC62A8" w:rsidR="00B95410" w:rsidRPr="00210405" w:rsidRDefault="00B95410" w:rsidP="00B95410">
          <w:pPr>
            <w:pStyle w:val="Spistreci2"/>
            <w:ind w:hanging="14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</w:rPr>
          </w:pPr>
          <w:hyperlink w:anchor="_Toc152672446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8</w:t>
            </w:r>
            <w:r w:rsidRPr="00210405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ODBIÓR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_Toc152672446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9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3FB3AF2F" w14:textId="2004E4A2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47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8.1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Ogólne zasady odbioru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_Toc152672447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9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6B548121" w14:textId="53F9D9B7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48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8.2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Odbiór robót zanikających i ulegających zakryciu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_Toc152672448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9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23EAC4C7" w14:textId="427E3C6C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49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8.3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Odbiór częściowy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_Toc152672449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9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08BCE74" w14:textId="6DE55C62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50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8.4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Odbiór ostateczny (końcowy)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_Toc152672450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9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E7BE88C" w14:textId="51F082B0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51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8.5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Odbiór po upływie okresu rękojmi i gwarancji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_Toc152672451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10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2950360" w14:textId="2D3D9BA6" w:rsidR="00B95410" w:rsidRPr="00210405" w:rsidRDefault="00B95410" w:rsidP="00B95410">
          <w:pPr>
            <w:pStyle w:val="Spistreci2"/>
            <w:ind w:hanging="14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</w:rPr>
          </w:pPr>
          <w:hyperlink w:anchor="_Toc152672452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9</w:t>
            </w:r>
            <w:r w:rsidRPr="00210405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PODSTAWA PŁATNOŚCI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_Toc152672452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10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69AF47E9" w14:textId="364D8C55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53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9.1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Ogólne ustalenia dotyczące podstawy rozliczenia robót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_Toc152672453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10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0466A97D" w14:textId="13F1914F" w:rsidR="00B95410" w:rsidRPr="00210405" w:rsidRDefault="00B95410" w:rsidP="00B95410">
          <w:pPr>
            <w:pStyle w:val="Spistreci2"/>
            <w:ind w:hanging="14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</w:rPr>
          </w:pPr>
          <w:hyperlink w:anchor="_Toc152672454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10</w:t>
            </w:r>
            <w:r w:rsidRPr="00210405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DOKUMENTY ODNIESIENIA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_Toc152672454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11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180CCD7" w14:textId="4687F2A6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55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10.1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Normy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_Toc152672455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11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753F494A" w14:textId="5FA9FB84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56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10.2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Ustawy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_Toc152672456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11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17EB9F62" w14:textId="2DF8AA30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57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10.3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Rozporządzenia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_Toc152672457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11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454E440C" w14:textId="6ABEBCA2" w:rsidR="00B95410" w:rsidRPr="00210405" w:rsidRDefault="00B95410" w:rsidP="00B95410">
          <w:pPr>
            <w:pStyle w:val="Spistreci3"/>
            <w:ind w:left="142" w:hanging="142"/>
            <w:rPr>
              <w:rFonts w:asciiTheme="minorHAnsi" w:eastAsiaTheme="minorEastAsia" w:hAnsiTheme="minorHAnsi" w:cstheme="minorHAnsi"/>
              <w:w w:val="100"/>
              <w:kern w:val="2"/>
              <w:lang w:eastAsia="pl-PL"/>
            </w:rPr>
          </w:pPr>
          <w:hyperlink w:anchor="_Toc152672458" w:history="1"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10.4</w:t>
            </w:r>
            <w:r w:rsidRPr="00210405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</w:rPr>
              <w:tab/>
            </w:r>
            <w:r w:rsidRPr="00210405">
              <w:rPr>
                <w:rStyle w:val="Hipercze"/>
                <w:rFonts w:asciiTheme="minorHAnsi" w:hAnsiTheme="minorHAnsi" w:cstheme="minorHAnsi"/>
                <w:w w:val="100"/>
              </w:rPr>
              <w:t>Inne dokumenty i instrukcje</w:t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tab/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begin"/>
            </w:r>
            <w:r w:rsidRPr="00210405">
              <w:rPr>
                <w:rFonts w:asciiTheme="minorHAnsi" w:hAnsiTheme="minorHAnsi" w:cstheme="minorHAnsi"/>
                <w:webHidden/>
                <w:w w:val="100"/>
              </w:rPr>
              <w:instrText xml:space="preserve"> PAGEREF _Toc152672458 \h </w:instrTex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separate"/>
            </w:r>
            <w:r w:rsidR="001803FB">
              <w:rPr>
                <w:rFonts w:asciiTheme="minorHAnsi" w:hAnsiTheme="minorHAnsi" w:cstheme="minorHAnsi"/>
                <w:webHidden/>
                <w:w w:val="100"/>
              </w:rPr>
              <w:t>12</w:t>
            </w:r>
            <w:r w:rsidR="00091A4B" w:rsidRPr="00210405">
              <w:rPr>
                <w:rFonts w:asciiTheme="minorHAnsi" w:hAnsiTheme="minorHAnsi" w:cstheme="minorHAnsi"/>
                <w:webHidden/>
                <w:w w:val="100"/>
              </w:rPr>
              <w:fldChar w:fldCharType="end"/>
            </w:r>
          </w:hyperlink>
        </w:p>
        <w:p w14:paraId="66956B35" w14:textId="77777777" w:rsidR="001820A0" w:rsidRPr="00210405" w:rsidRDefault="00091A4B" w:rsidP="00B95410">
          <w:pPr>
            <w:ind w:left="142" w:hanging="142"/>
            <w:jc w:val="both"/>
            <w:rPr>
              <w:rFonts w:asciiTheme="minorHAnsi" w:hAnsiTheme="minorHAnsi" w:cstheme="minorHAnsi"/>
            </w:rPr>
          </w:pPr>
          <w:r w:rsidRPr="00210405">
            <w:rPr>
              <w:rFonts w:asciiTheme="minorHAnsi" w:hAnsiTheme="minorHAnsi" w:cstheme="minorHAnsi"/>
              <w:color w:val="000000" w:themeColor="text1"/>
            </w:rPr>
            <w:fldChar w:fldCharType="end"/>
          </w:r>
        </w:p>
      </w:sdtContent>
    </w:sdt>
    <w:p w14:paraId="0D3EAAD8" w14:textId="77777777" w:rsidR="001820A0" w:rsidRPr="00210405" w:rsidRDefault="001820A0" w:rsidP="001820A0">
      <w:pPr>
        <w:jc w:val="both"/>
        <w:rPr>
          <w:rFonts w:asciiTheme="minorHAnsi" w:hAnsiTheme="minorHAnsi" w:cstheme="minorHAnsi"/>
          <w:sz w:val="20"/>
        </w:rPr>
        <w:sectPr w:rsidR="001820A0" w:rsidRPr="00210405" w:rsidSect="007A21E4">
          <w:type w:val="continuous"/>
          <w:pgSz w:w="11910" w:h="16840"/>
          <w:pgMar w:top="1440" w:right="1080" w:bottom="1440" w:left="1080" w:header="708" w:footer="708" w:gutter="0"/>
          <w:cols w:space="708"/>
          <w:docGrid w:linePitch="299"/>
        </w:sectPr>
      </w:pPr>
    </w:p>
    <w:p w14:paraId="382CEB19" w14:textId="77777777" w:rsidR="001820A0" w:rsidRPr="00210405" w:rsidRDefault="001820A0" w:rsidP="007A21E4">
      <w:pPr>
        <w:pStyle w:val="Nagwek11"/>
        <w:numPr>
          <w:ilvl w:val="0"/>
          <w:numId w:val="15"/>
        </w:numPr>
        <w:tabs>
          <w:tab w:val="left" w:pos="286"/>
        </w:tabs>
        <w:spacing w:before="91"/>
        <w:ind w:right="0"/>
        <w:jc w:val="both"/>
        <w:rPr>
          <w:rFonts w:asciiTheme="minorHAnsi" w:hAnsiTheme="minorHAnsi" w:cstheme="minorHAnsi"/>
        </w:rPr>
      </w:pPr>
      <w:bookmarkStart w:id="0" w:name="_Toc152672409"/>
      <w:r w:rsidRPr="00210405">
        <w:rPr>
          <w:rFonts w:asciiTheme="minorHAnsi" w:hAnsiTheme="minorHAnsi" w:cstheme="minorHAnsi"/>
        </w:rPr>
        <w:lastRenderedPageBreak/>
        <w:t>WSTĘP</w:t>
      </w:r>
      <w:bookmarkEnd w:id="0"/>
    </w:p>
    <w:p w14:paraId="2E43F4A0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2"/>
        <w:jc w:val="both"/>
        <w:rPr>
          <w:rFonts w:asciiTheme="minorHAnsi" w:hAnsiTheme="minorHAnsi" w:cstheme="minorHAnsi"/>
        </w:rPr>
      </w:pPr>
      <w:bookmarkStart w:id="1" w:name="_Toc152672410"/>
      <w:r w:rsidRPr="00210405">
        <w:rPr>
          <w:rFonts w:asciiTheme="minorHAnsi" w:hAnsiTheme="minorHAnsi" w:cstheme="minorHAnsi"/>
        </w:rPr>
        <w:t>Przedmiot ST</w:t>
      </w:r>
      <w:bookmarkEnd w:id="1"/>
    </w:p>
    <w:p w14:paraId="000C701A" w14:textId="77777777" w:rsidR="002B7358" w:rsidRPr="00210405" w:rsidRDefault="002B7358" w:rsidP="002B7358">
      <w:pPr>
        <w:pStyle w:val="Akapitzlist"/>
        <w:spacing w:before="21"/>
        <w:ind w:left="285" w:right="137" w:firstLine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2" w:name="_Toc152672411"/>
      <w:r w:rsidRPr="0021040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Przedmiotem niniejszej specyfikacji technicznej (ST) są wymagania ogólne dotyczące wykonania </w:t>
      </w:r>
      <w:r w:rsidRPr="00210405">
        <w:rPr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i odbioru robót na podstawie projektu </w:t>
      </w:r>
      <w:r w:rsidR="004A1FC4" w:rsidRPr="008C7ECA">
        <w:rPr>
          <w:rFonts w:asciiTheme="minorHAnsi" w:hAnsiTheme="minorHAnsi" w:cstheme="minorHAnsi"/>
          <w:bCs/>
          <w:sz w:val="20"/>
          <w:szCs w:val="20"/>
        </w:rPr>
        <w:t xml:space="preserve">budowy </w:t>
      </w:r>
      <w:r w:rsidR="004A1FC4">
        <w:rPr>
          <w:rFonts w:asciiTheme="minorHAnsi" w:hAnsiTheme="minorHAnsi" w:cstheme="minorHAnsi"/>
          <w:bCs/>
          <w:sz w:val="20"/>
          <w:szCs w:val="20"/>
        </w:rPr>
        <w:t xml:space="preserve">przedszkola w Bilczy na działce nr </w:t>
      </w:r>
      <w:proofErr w:type="spellStart"/>
      <w:r w:rsidR="004A1FC4">
        <w:rPr>
          <w:rFonts w:asciiTheme="minorHAnsi" w:hAnsiTheme="minorHAnsi" w:cstheme="minorHAnsi"/>
          <w:bCs/>
          <w:sz w:val="20"/>
          <w:szCs w:val="20"/>
        </w:rPr>
        <w:t>ewid</w:t>
      </w:r>
      <w:proofErr w:type="spellEnd"/>
      <w:r w:rsidR="004A1FC4">
        <w:rPr>
          <w:rFonts w:asciiTheme="minorHAnsi" w:hAnsiTheme="minorHAnsi" w:cstheme="minorHAnsi"/>
          <w:bCs/>
          <w:sz w:val="20"/>
          <w:szCs w:val="20"/>
        </w:rPr>
        <w:t>. 961/169, 961/131, 961/132, 961/133, obręb 0002 Bilcza, gm. Morawica, powiat kielecki, woj. świętokrzyskie.</w:t>
      </w:r>
    </w:p>
    <w:p w14:paraId="78353DFA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6"/>
        <w:jc w:val="both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Zakres stosowania ST</w:t>
      </w:r>
      <w:bookmarkEnd w:id="2"/>
    </w:p>
    <w:p w14:paraId="2D97AA4A" w14:textId="77777777" w:rsidR="001820A0" w:rsidRPr="00210405" w:rsidRDefault="001820A0" w:rsidP="001820A0">
      <w:pPr>
        <w:pStyle w:val="Tekstpodstawowy"/>
        <w:spacing w:before="2"/>
        <w:ind w:right="92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Specyfikacja techniczna (ST) jest dokumentem przetargowym i kontraktowym przy zlecaniu i realizacji robót wymienionych w pkt. 1.1.</w:t>
      </w:r>
    </w:p>
    <w:p w14:paraId="2E6CB3EC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3"/>
        <w:jc w:val="both"/>
        <w:rPr>
          <w:rFonts w:asciiTheme="minorHAnsi" w:hAnsiTheme="minorHAnsi" w:cstheme="minorHAnsi"/>
        </w:rPr>
      </w:pPr>
      <w:bookmarkStart w:id="3" w:name="_Toc152672412"/>
      <w:r w:rsidRPr="00210405">
        <w:rPr>
          <w:rFonts w:asciiTheme="minorHAnsi" w:hAnsiTheme="minorHAnsi" w:cstheme="minorHAnsi"/>
        </w:rPr>
        <w:t>Przedmiot i zakres robót objętych ST</w:t>
      </w:r>
      <w:bookmarkEnd w:id="3"/>
    </w:p>
    <w:p w14:paraId="1B3F32D0" w14:textId="77777777" w:rsidR="001820A0" w:rsidRPr="00210405" w:rsidRDefault="001820A0" w:rsidP="001820A0">
      <w:pPr>
        <w:pStyle w:val="Tekstpodstawowy"/>
        <w:spacing w:before="2"/>
        <w:ind w:right="109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Specyfikacja dotyczy wykonania tynków zwykłych wewnętrznych i zewnętrznych w obiektach kubaturowych i obejmuje wykonanie następujących czynności:</w:t>
      </w:r>
    </w:p>
    <w:p w14:paraId="628D1360" w14:textId="77777777" w:rsidR="001820A0" w:rsidRPr="00210405" w:rsidRDefault="001820A0" w:rsidP="007A21E4">
      <w:pPr>
        <w:pStyle w:val="Akapitzlist"/>
        <w:numPr>
          <w:ilvl w:val="2"/>
          <w:numId w:val="15"/>
        </w:numPr>
        <w:tabs>
          <w:tab w:val="left" w:pos="821"/>
        </w:tabs>
        <w:spacing w:before="6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przygotowanie podłoża (wg pkt. 5.3.),</w:t>
      </w:r>
    </w:p>
    <w:p w14:paraId="592D4475" w14:textId="77777777" w:rsidR="001820A0" w:rsidRPr="00210405" w:rsidRDefault="001820A0" w:rsidP="007A21E4">
      <w:pPr>
        <w:pStyle w:val="Akapitzlist"/>
        <w:numPr>
          <w:ilvl w:val="2"/>
          <w:numId w:val="15"/>
        </w:numPr>
        <w:tabs>
          <w:tab w:val="left" w:pos="821"/>
        </w:tabs>
        <w:spacing w:before="1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wykonanie warstwy wyrównawczej,</w:t>
      </w:r>
    </w:p>
    <w:p w14:paraId="38A81CA3" w14:textId="77777777" w:rsidR="001820A0" w:rsidRPr="00210405" w:rsidRDefault="001820A0" w:rsidP="007A21E4">
      <w:pPr>
        <w:pStyle w:val="Akapitzlist"/>
        <w:numPr>
          <w:ilvl w:val="2"/>
          <w:numId w:val="15"/>
        </w:numPr>
        <w:tabs>
          <w:tab w:val="left" w:pos="821"/>
        </w:tabs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wykonanie tynków zwykłych jedno- i wielowarstwowych.</w:t>
      </w:r>
    </w:p>
    <w:p w14:paraId="245F74C7" w14:textId="77777777" w:rsidR="001820A0" w:rsidRPr="00210405" w:rsidRDefault="001820A0" w:rsidP="001820A0">
      <w:pPr>
        <w:pStyle w:val="Tekstpodstawowy"/>
        <w:spacing w:before="2" w:line="242" w:lineRule="auto"/>
        <w:ind w:right="110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Przedmiotem specyfikacji jest określenie wymagań odnośnie właściwości materiałów wykorzystywanych do robót tynkarskich, wymagań w zakresie robót przygotowawczych oraz wymagań dotyczących wykonania i odbiorów tynków zwykłych.</w:t>
      </w:r>
    </w:p>
    <w:p w14:paraId="7D0FCEC8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1"/>
        <w:jc w:val="both"/>
        <w:rPr>
          <w:rFonts w:asciiTheme="minorHAnsi" w:hAnsiTheme="minorHAnsi" w:cstheme="minorHAnsi"/>
        </w:rPr>
      </w:pPr>
      <w:bookmarkStart w:id="4" w:name="_Toc152672413"/>
      <w:r w:rsidRPr="00210405">
        <w:rPr>
          <w:rFonts w:asciiTheme="minorHAnsi" w:hAnsiTheme="minorHAnsi" w:cstheme="minorHAnsi"/>
        </w:rPr>
        <w:t>Określenia podstawowe, definicje</w:t>
      </w:r>
      <w:bookmarkEnd w:id="4"/>
    </w:p>
    <w:p w14:paraId="627CBC59" w14:textId="77777777" w:rsidR="001820A0" w:rsidRPr="00210405" w:rsidRDefault="001820A0" w:rsidP="001820A0">
      <w:pPr>
        <w:pStyle w:val="Tekstpodstawowy"/>
        <w:spacing w:before="2"/>
        <w:ind w:right="111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Określenia podane w niniejszej Specyfikacji są zgodne z odpowiednimi normami oraz określeniami podanymi w ST „Wymagania ogólne”, pkt 1.4,a także podanymi poniżej:</w:t>
      </w:r>
    </w:p>
    <w:p w14:paraId="66529F89" w14:textId="77777777" w:rsidR="001820A0" w:rsidRPr="00210405" w:rsidRDefault="001820A0" w:rsidP="001820A0">
      <w:pPr>
        <w:pStyle w:val="Tekstpodstawowy"/>
        <w:spacing w:before="1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  <w:b/>
        </w:rPr>
        <w:t xml:space="preserve">Podłoże </w:t>
      </w:r>
      <w:r w:rsidRPr="00210405">
        <w:rPr>
          <w:rFonts w:asciiTheme="minorHAnsi" w:hAnsiTheme="minorHAnsi" w:cstheme="minorHAnsi"/>
        </w:rPr>
        <w:t>– element budynku, na powierzchni którego wykonany ma być tynk.</w:t>
      </w:r>
    </w:p>
    <w:p w14:paraId="0ABF389E" w14:textId="77777777" w:rsidR="001820A0" w:rsidRPr="00210405" w:rsidRDefault="001820A0" w:rsidP="001820A0">
      <w:pPr>
        <w:spacing w:before="1" w:line="244" w:lineRule="auto"/>
        <w:ind w:left="10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b/>
          <w:sz w:val="20"/>
        </w:rPr>
        <w:t xml:space="preserve">Warstwa wyrównawcza </w:t>
      </w:r>
      <w:r w:rsidRPr="00210405">
        <w:rPr>
          <w:rFonts w:asciiTheme="minorHAnsi" w:hAnsiTheme="minorHAnsi" w:cstheme="minorHAnsi"/>
          <w:sz w:val="20"/>
        </w:rPr>
        <w:t>– warstwa wykonana w celu wyeliminowania nierówności powierzchni podłoża.</w:t>
      </w:r>
    </w:p>
    <w:p w14:paraId="64EBC3D0" w14:textId="77777777" w:rsidR="001820A0" w:rsidRPr="00210405" w:rsidRDefault="001820A0" w:rsidP="001820A0">
      <w:pPr>
        <w:pStyle w:val="Tekstpodstawowy"/>
        <w:spacing w:line="244" w:lineRule="auto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  <w:b/>
        </w:rPr>
        <w:t xml:space="preserve">Warstwa gruntująca </w:t>
      </w:r>
      <w:r w:rsidRPr="00210405">
        <w:rPr>
          <w:rFonts w:asciiTheme="minorHAnsi" w:hAnsiTheme="minorHAnsi" w:cstheme="minorHAnsi"/>
        </w:rPr>
        <w:t>– powłoka wzmacniająca i uszczelniająca podłoże oraz zwiększająca przyczepność dolnej warstwy tynku.</w:t>
      </w:r>
    </w:p>
    <w:p w14:paraId="43C3E82A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13"/>
        <w:jc w:val="both"/>
        <w:rPr>
          <w:rFonts w:asciiTheme="minorHAnsi" w:hAnsiTheme="minorHAnsi" w:cstheme="minorHAnsi"/>
        </w:rPr>
      </w:pPr>
      <w:bookmarkStart w:id="5" w:name="_Toc152672414"/>
      <w:r w:rsidRPr="00210405">
        <w:rPr>
          <w:rFonts w:asciiTheme="minorHAnsi" w:hAnsiTheme="minorHAnsi" w:cstheme="minorHAnsi"/>
        </w:rPr>
        <w:t>Ogólne wymagania dotyczące robót tynkarskich</w:t>
      </w:r>
      <w:bookmarkEnd w:id="5"/>
    </w:p>
    <w:p w14:paraId="4DAE78C9" w14:textId="77777777" w:rsidR="001820A0" w:rsidRPr="00210405" w:rsidRDefault="001820A0" w:rsidP="001820A0">
      <w:pPr>
        <w:pStyle w:val="Tekstpodstawowy"/>
        <w:spacing w:before="1" w:line="242" w:lineRule="auto"/>
        <w:ind w:right="104" w:firstLine="706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Wykonawca robót jest odpowiedzialny za jakość ich wykonania oraz za zgodność z dokumentacją projektową, specyfikacjami technicznymi i poleceniami Inspektora nadzoru. Ogólne powszechnie stosowane wymagania dotyczące robót podano w ST „Wymagania ogólne” Kod CPV 45410000-4, pkt. 1.5.</w:t>
      </w:r>
    </w:p>
    <w:p w14:paraId="395C9594" w14:textId="77777777" w:rsidR="001820A0" w:rsidRPr="00210405" w:rsidRDefault="001820A0" w:rsidP="007A21E4">
      <w:pPr>
        <w:pStyle w:val="Nagwek11"/>
        <w:numPr>
          <w:ilvl w:val="0"/>
          <w:numId w:val="15"/>
        </w:numPr>
        <w:tabs>
          <w:tab w:val="left" w:pos="286"/>
        </w:tabs>
        <w:spacing w:before="120"/>
        <w:ind w:right="0"/>
        <w:jc w:val="both"/>
        <w:rPr>
          <w:rFonts w:asciiTheme="minorHAnsi" w:hAnsiTheme="minorHAnsi" w:cstheme="minorHAnsi"/>
        </w:rPr>
      </w:pPr>
      <w:bookmarkStart w:id="6" w:name="_Toc152672415"/>
      <w:r w:rsidRPr="00210405">
        <w:rPr>
          <w:rFonts w:asciiTheme="minorHAnsi" w:hAnsiTheme="minorHAnsi" w:cstheme="minorHAnsi"/>
        </w:rPr>
        <w:t>MATERIAŁY</w:t>
      </w:r>
      <w:bookmarkEnd w:id="6"/>
    </w:p>
    <w:p w14:paraId="2FE33173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2"/>
        <w:jc w:val="both"/>
        <w:rPr>
          <w:rFonts w:asciiTheme="minorHAnsi" w:hAnsiTheme="minorHAnsi" w:cstheme="minorHAnsi"/>
        </w:rPr>
      </w:pPr>
      <w:bookmarkStart w:id="7" w:name="_Toc152672416"/>
      <w:r w:rsidRPr="00210405">
        <w:rPr>
          <w:rFonts w:asciiTheme="minorHAnsi" w:hAnsiTheme="minorHAnsi" w:cstheme="minorHAnsi"/>
        </w:rPr>
        <w:t>Ogólne wymagania dotyczące właściwości materiałów</w:t>
      </w:r>
      <w:bookmarkEnd w:id="7"/>
    </w:p>
    <w:p w14:paraId="39ECC4B8" w14:textId="77777777" w:rsidR="001820A0" w:rsidRPr="00210405" w:rsidRDefault="001820A0" w:rsidP="001820A0">
      <w:pPr>
        <w:pStyle w:val="Tekstpodstawowy"/>
        <w:spacing w:before="2" w:line="244" w:lineRule="auto"/>
        <w:ind w:right="101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Ogólne wymagania dotyczące właściwości materiałów, ich pozyskiwania i składowania podano w ST „Wymagania ogólne” pkt 2</w:t>
      </w:r>
    </w:p>
    <w:p w14:paraId="4B43ACAC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16"/>
        <w:jc w:val="both"/>
        <w:rPr>
          <w:rFonts w:asciiTheme="minorHAnsi" w:hAnsiTheme="minorHAnsi" w:cstheme="minorHAnsi"/>
        </w:rPr>
      </w:pPr>
      <w:bookmarkStart w:id="8" w:name="_Toc152672417"/>
      <w:r w:rsidRPr="00210405">
        <w:rPr>
          <w:rFonts w:asciiTheme="minorHAnsi" w:hAnsiTheme="minorHAnsi" w:cstheme="minorHAnsi"/>
        </w:rPr>
        <w:t>Rodzaje materiałów</w:t>
      </w:r>
      <w:bookmarkEnd w:id="8"/>
    </w:p>
    <w:p w14:paraId="7E44168D" w14:textId="77777777" w:rsidR="001820A0" w:rsidRPr="00210405" w:rsidRDefault="001820A0" w:rsidP="001820A0">
      <w:pPr>
        <w:pStyle w:val="Tekstpodstawowy"/>
        <w:spacing w:before="1"/>
        <w:ind w:right="111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Wszystkie materiały do wykonania robót tynkarskich powinny odpowiadać wymaganiom zawartym w dokumentach odniesienia (normach, aprobatach technicznych).</w:t>
      </w:r>
    </w:p>
    <w:p w14:paraId="152217C9" w14:textId="77777777" w:rsidR="001820A0" w:rsidRPr="00210405" w:rsidRDefault="001820A0" w:rsidP="007A21E4">
      <w:pPr>
        <w:pStyle w:val="Nagwek21"/>
        <w:numPr>
          <w:ilvl w:val="0"/>
          <w:numId w:val="14"/>
        </w:numPr>
        <w:tabs>
          <w:tab w:val="left" w:pos="821"/>
        </w:tabs>
        <w:spacing w:before="4"/>
        <w:jc w:val="both"/>
        <w:rPr>
          <w:rFonts w:asciiTheme="minorHAnsi" w:hAnsiTheme="minorHAnsi" w:cstheme="minorHAnsi"/>
        </w:rPr>
      </w:pPr>
      <w:bookmarkStart w:id="9" w:name="_Toc152672418"/>
      <w:r w:rsidRPr="00210405">
        <w:rPr>
          <w:rFonts w:asciiTheme="minorHAnsi" w:hAnsiTheme="minorHAnsi" w:cstheme="minorHAnsi"/>
        </w:rPr>
        <w:t>Woda</w:t>
      </w:r>
      <w:bookmarkEnd w:id="9"/>
    </w:p>
    <w:p w14:paraId="57F73789" w14:textId="77777777" w:rsidR="001820A0" w:rsidRPr="00210405" w:rsidRDefault="001820A0" w:rsidP="001820A0">
      <w:pPr>
        <w:pStyle w:val="Tekstpodstawowy"/>
        <w:spacing w:before="2" w:line="242" w:lineRule="auto"/>
        <w:ind w:right="103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Do przygotowania zapraw i skrapiania podłoża stosować można wodę odpowiadającą wymaganiom normy PN-EN 1008:2004 „Woda zarobowa do betonu. Specyfikacja pobierania próbek, badanie i ocena przydatności wody zarobowej do betonu, w tym wody odzyskanej z procesów produkcji betonu”. Bez badań laboratoryjnych można stosować wodociągową wodę pitną.</w:t>
      </w:r>
    </w:p>
    <w:p w14:paraId="421A617B" w14:textId="77777777" w:rsidR="001820A0" w:rsidRPr="00210405" w:rsidRDefault="001820A0" w:rsidP="001820A0">
      <w:pPr>
        <w:pStyle w:val="Tekstpodstawowy"/>
        <w:spacing w:line="242" w:lineRule="auto"/>
        <w:ind w:right="114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Niedozwolone jest użycie wód ściekowych, kanalizacyjnych, bagiennych oraz wód zawierających tłuszcze organiczne, oleje i muł.</w:t>
      </w:r>
    </w:p>
    <w:p w14:paraId="091A75F1" w14:textId="77777777" w:rsidR="001820A0" w:rsidRPr="00210405" w:rsidRDefault="001820A0" w:rsidP="007A21E4">
      <w:pPr>
        <w:pStyle w:val="Nagwek21"/>
        <w:numPr>
          <w:ilvl w:val="0"/>
          <w:numId w:val="14"/>
        </w:numPr>
        <w:tabs>
          <w:tab w:val="left" w:pos="821"/>
        </w:tabs>
        <w:spacing w:before="0"/>
        <w:ind w:hanging="361"/>
        <w:jc w:val="both"/>
        <w:rPr>
          <w:rFonts w:asciiTheme="minorHAnsi" w:hAnsiTheme="minorHAnsi" w:cstheme="minorHAnsi"/>
        </w:rPr>
      </w:pPr>
      <w:bookmarkStart w:id="10" w:name="_Toc152672419"/>
      <w:r w:rsidRPr="00210405">
        <w:rPr>
          <w:rFonts w:asciiTheme="minorHAnsi" w:hAnsiTheme="minorHAnsi" w:cstheme="minorHAnsi"/>
        </w:rPr>
        <w:t>Piasek</w:t>
      </w:r>
      <w:bookmarkEnd w:id="10"/>
    </w:p>
    <w:p w14:paraId="572B5240" w14:textId="77777777" w:rsidR="001820A0" w:rsidRPr="00210405" w:rsidRDefault="001820A0" w:rsidP="001820A0">
      <w:pPr>
        <w:pStyle w:val="Tekstpodstawowy"/>
        <w:spacing w:before="2"/>
        <w:ind w:right="100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Piasek powinien spełniać wymagania normy PN-EN 13139:2003 „Kruszywa do zapraw”, a w szczególności:</w:t>
      </w:r>
    </w:p>
    <w:p w14:paraId="33FF47D4" w14:textId="77777777" w:rsidR="001820A0" w:rsidRPr="00210405" w:rsidRDefault="001820A0" w:rsidP="007A21E4">
      <w:pPr>
        <w:pStyle w:val="Akapitzlist"/>
        <w:numPr>
          <w:ilvl w:val="0"/>
          <w:numId w:val="13"/>
        </w:numPr>
        <w:tabs>
          <w:tab w:val="left" w:pos="387"/>
        </w:tabs>
        <w:spacing w:before="3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nie zawierać domieszek organicznych,</w:t>
      </w:r>
    </w:p>
    <w:p w14:paraId="63735D0A" w14:textId="77777777" w:rsidR="001820A0" w:rsidRPr="00210405" w:rsidRDefault="001820A0" w:rsidP="007A21E4">
      <w:pPr>
        <w:pStyle w:val="Akapitzlist"/>
        <w:numPr>
          <w:ilvl w:val="0"/>
          <w:numId w:val="13"/>
        </w:numPr>
        <w:tabs>
          <w:tab w:val="left" w:pos="387"/>
        </w:tabs>
        <w:ind w:right="10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mieć frakcje różnych wymiarów, a mianowicie: piasek drobnoziarnisty 0,25-0,5 mm, piasek średnioziarnisty 0,5-1,0 mm, piasek gruboziarnisty 1,0-2,0 mm.</w:t>
      </w:r>
    </w:p>
    <w:p w14:paraId="5BC53E58" w14:textId="77777777" w:rsidR="001820A0" w:rsidRPr="00210405" w:rsidRDefault="001820A0" w:rsidP="001820A0">
      <w:pPr>
        <w:pStyle w:val="Tekstpodstawowy"/>
        <w:spacing w:before="6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 xml:space="preserve">Do spodnich warstw tynku należy stosować piasek gruboziarnisty odmiany 1, do warstw wierzchnich – średnioziarnisty </w:t>
      </w:r>
      <w:r w:rsidRPr="00210405">
        <w:rPr>
          <w:rFonts w:asciiTheme="minorHAnsi" w:hAnsiTheme="minorHAnsi" w:cstheme="minorHAnsi"/>
        </w:rPr>
        <w:lastRenderedPageBreak/>
        <w:t>odmiany 2.</w:t>
      </w:r>
    </w:p>
    <w:p w14:paraId="38F59D85" w14:textId="77777777" w:rsidR="001820A0" w:rsidRPr="00210405" w:rsidRDefault="001820A0" w:rsidP="001820A0">
      <w:pPr>
        <w:pStyle w:val="Tekstpodstawowy"/>
        <w:spacing w:before="92" w:line="242" w:lineRule="auto"/>
        <w:ind w:right="103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Do gładzi piasek powinien być drobnoziarnisty i przechodzić całkowicie przez sito o prześwicie 0,5 mm.</w:t>
      </w:r>
    </w:p>
    <w:p w14:paraId="0494FB65" w14:textId="77777777" w:rsidR="00AC32E6" w:rsidRPr="00210405" w:rsidRDefault="00AC32E6" w:rsidP="003E1EB2">
      <w:pPr>
        <w:pStyle w:val="Tekstpodstawowy"/>
        <w:spacing w:before="92" w:line="242" w:lineRule="auto"/>
        <w:ind w:left="0" w:right="103"/>
        <w:rPr>
          <w:rFonts w:asciiTheme="minorHAnsi" w:hAnsiTheme="minorHAnsi" w:cstheme="minorHAnsi"/>
        </w:rPr>
      </w:pPr>
    </w:p>
    <w:p w14:paraId="627D17BF" w14:textId="77777777" w:rsidR="001820A0" w:rsidRPr="00210405" w:rsidRDefault="001820A0" w:rsidP="007A21E4">
      <w:pPr>
        <w:pStyle w:val="Nagwek21"/>
        <w:numPr>
          <w:ilvl w:val="0"/>
          <w:numId w:val="14"/>
        </w:numPr>
        <w:tabs>
          <w:tab w:val="left" w:pos="821"/>
        </w:tabs>
        <w:spacing w:before="0" w:line="242" w:lineRule="exact"/>
        <w:ind w:hanging="361"/>
        <w:jc w:val="both"/>
        <w:rPr>
          <w:rFonts w:asciiTheme="minorHAnsi" w:hAnsiTheme="minorHAnsi" w:cstheme="minorHAnsi"/>
        </w:rPr>
      </w:pPr>
      <w:bookmarkStart w:id="11" w:name="_Toc152672420"/>
      <w:r w:rsidRPr="00210405">
        <w:rPr>
          <w:rFonts w:asciiTheme="minorHAnsi" w:hAnsiTheme="minorHAnsi" w:cstheme="minorHAnsi"/>
        </w:rPr>
        <w:t>Zaprawy budowlane do wykonania tynków zwykłych</w:t>
      </w:r>
      <w:bookmarkEnd w:id="11"/>
    </w:p>
    <w:p w14:paraId="7404F438" w14:textId="77777777" w:rsidR="001820A0" w:rsidRPr="00210405" w:rsidRDefault="001820A0" w:rsidP="007A21E4">
      <w:pPr>
        <w:pStyle w:val="Akapitzlist"/>
        <w:numPr>
          <w:ilvl w:val="0"/>
          <w:numId w:val="12"/>
        </w:numPr>
        <w:tabs>
          <w:tab w:val="left" w:pos="387"/>
        </w:tabs>
        <w:spacing w:before="1"/>
        <w:ind w:right="10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Marka i skład zaprawy powinny odpowiadać wymaganiom normy PN-90/B-14501 „Zaprawy budowlane zwykłe” lub aprobatom technicznym (w specyfikacji szczegółowej należy uściślić wymagania).</w:t>
      </w:r>
    </w:p>
    <w:p w14:paraId="7D19EF84" w14:textId="77777777" w:rsidR="001820A0" w:rsidRPr="00210405" w:rsidRDefault="001820A0" w:rsidP="007A21E4">
      <w:pPr>
        <w:pStyle w:val="Akapitzlist"/>
        <w:numPr>
          <w:ilvl w:val="0"/>
          <w:numId w:val="12"/>
        </w:numPr>
        <w:tabs>
          <w:tab w:val="left" w:pos="387"/>
        </w:tabs>
        <w:spacing w:before="8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Przygotowanie zapraw do robót tynkarskich powinno być wykonywane mechanicznie.</w:t>
      </w:r>
    </w:p>
    <w:p w14:paraId="67069FCD" w14:textId="77777777" w:rsidR="001820A0" w:rsidRPr="00210405" w:rsidRDefault="001820A0" w:rsidP="007A21E4">
      <w:pPr>
        <w:pStyle w:val="Akapitzlist"/>
        <w:numPr>
          <w:ilvl w:val="0"/>
          <w:numId w:val="12"/>
        </w:numPr>
        <w:tabs>
          <w:tab w:val="left" w:pos="387"/>
        </w:tabs>
        <w:ind w:right="105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Zaprawę należy przygotować w takiej ilości, aby mogła być wbudowana możliwie szybko po jej przygotowaniu, tj. w okresie ok. 3 godzin.</w:t>
      </w:r>
    </w:p>
    <w:p w14:paraId="042D5744" w14:textId="77777777" w:rsidR="001820A0" w:rsidRPr="00210405" w:rsidRDefault="001820A0" w:rsidP="007A21E4">
      <w:pPr>
        <w:pStyle w:val="Akapitzlist"/>
        <w:numPr>
          <w:ilvl w:val="0"/>
          <w:numId w:val="12"/>
        </w:numPr>
        <w:tabs>
          <w:tab w:val="left" w:pos="387"/>
        </w:tabs>
        <w:spacing w:before="3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Do zaprawy tynkarskiej należy stosować piasek rzeczny lub kopalniany.</w:t>
      </w:r>
    </w:p>
    <w:p w14:paraId="5A796C5F" w14:textId="77777777" w:rsidR="001820A0" w:rsidRPr="00210405" w:rsidRDefault="001820A0" w:rsidP="007A21E4">
      <w:pPr>
        <w:pStyle w:val="Akapitzlist"/>
        <w:numPr>
          <w:ilvl w:val="0"/>
          <w:numId w:val="12"/>
        </w:numPr>
        <w:tabs>
          <w:tab w:val="left" w:pos="387"/>
        </w:tabs>
        <w:spacing w:line="242" w:lineRule="auto"/>
        <w:ind w:right="106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 xml:space="preserve">Do   zaprawy   cementowo-wapiennej   należy   stosować   cement    według    normy </w:t>
      </w:r>
    </w:p>
    <w:p w14:paraId="7F3F59D7" w14:textId="77777777" w:rsidR="001820A0" w:rsidRPr="00210405" w:rsidRDefault="001820A0" w:rsidP="001820A0">
      <w:pPr>
        <w:pStyle w:val="Akapitzlist"/>
        <w:tabs>
          <w:tab w:val="left" w:pos="387"/>
        </w:tabs>
        <w:spacing w:line="242" w:lineRule="auto"/>
        <w:ind w:left="386" w:right="106" w:firstLine="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PN-EN 197-1:2002 „Cement – Część 1: Skład, wymagania i kryteria zgodności dotyczące cementów powszechnego użytku”. Za zgodą Inspektora nadzoru można stosować cement z dodatkiem żużla lub popiołów lotnych 25 i 35 oraz cement hutniczy 25 pod warunkiem, że temperatura otoczenia w ciągu 7 dni od chwili wbudowania zaprawy nie będzie niższa niż</w:t>
      </w:r>
    </w:p>
    <w:p w14:paraId="3C668B6F" w14:textId="77777777" w:rsidR="001820A0" w:rsidRPr="00210405" w:rsidRDefault="001820A0" w:rsidP="001820A0">
      <w:pPr>
        <w:pStyle w:val="Tekstpodstawowy"/>
        <w:spacing w:line="242" w:lineRule="exact"/>
        <w:ind w:left="386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+5°C.</w:t>
      </w:r>
    </w:p>
    <w:p w14:paraId="450004C1" w14:textId="77777777" w:rsidR="001820A0" w:rsidRPr="00210405" w:rsidRDefault="001820A0" w:rsidP="007A21E4">
      <w:pPr>
        <w:pStyle w:val="Akapitzlist"/>
        <w:numPr>
          <w:ilvl w:val="0"/>
          <w:numId w:val="12"/>
        </w:numPr>
        <w:tabs>
          <w:tab w:val="left" w:pos="387"/>
        </w:tabs>
        <w:spacing w:line="242" w:lineRule="auto"/>
        <w:ind w:right="104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 xml:space="preserve">Do zapraw cementowo-wapiennych należy stosować wapno </w:t>
      </w:r>
      <w:proofErr w:type="spellStart"/>
      <w:r w:rsidRPr="00210405">
        <w:rPr>
          <w:rFonts w:asciiTheme="minorHAnsi" w:hAnsiTheme="minorHAnsi" w:cstheme="minorHAnsi"/>
          <w:sz w:val="20"/>
        </w:rPr>
        <w:t>suchogaszone</w:t>
      </w:r>
      <w:proofErr w:type="spellEnd"/>
      <w:r w:rsidRPr="00210405">
        <w:rPr>
          <w:rFonts w:asciiTheme="minorHAnsi" w:hAnsiTheme="minorHAnsi" w:cstheme="minorHAnsi"/>
          <w:sz w:val="20"/>
        </w:rPr>
        <w:t xml:space="preserve"> lub gaszone w postaci ciasta wapiennego otrzymanego z wapna niegaszonego, które powinno tworzyć jednolitą i jednobarwną masę, bez grudek niegaszonego wapna i zanieczysz­czeń obcych. Wapno powinno spełnia wymagania normy PN-EN-459. Skład objętościowych składników zapraw należy dobierać doświadczalnie, w zależno­ści od wymaganej marki zaprawy oraz rodzaju cementu i wapna.</w:t>
      </w:r>
    </w:p>
    <w:p w14:paraId="2CC33B61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18"/>
        <w:jc w:val="both"/>
        <w:rPr>
          <w:rFonts w:asciiTheme="minorHAnsi" w:hAnsiTheme="minorHAnsi" w:cstheme="minorHAnsi"/>
        </w:rPr>
      </w:pPr>
      <w:bookmarkStart w:id="12" w:name="_Toc152672421"/>
      <w:r w:rsidRPr="00210405">
        <w:rPr>
          <w:rFonts w:asciiTheme="minorHAnsi" w:hAnsiTheme="minorHAnsi" w:cstheme="minorHAnsi"/>
        </w:rPr>
        <w:t>Warunki przyjęcia na budowę materiałów i wyrobów do robót tynkarskich</w:t>
      </w:r>
      <w:bookmarkEnd w:id="12"/>
    </w:p>
    <w:p w14:paraId="58C9B4DB" w14:textId="77777777" w:rsidR="001820A0" w:rsidRPr="00210405" w:rsidRDefault="001820A0" w:rsidP="001820A0">
      <w:pPr>
        <w:pStyle w:val="Tekstpodstawowy"/>
        <w:spacing w:before="4"/>
        <w:ind w:right="110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Materiały i wyroby do robót tynkarskich mogą być przyjęte na budowę, jeśli spełniają następujące warunki:</w:t>
      </w:r>
    </w:p>
    <w:p w14:paraId="4D2C0D60" w14:textId="77777777" w:rsidR="001820A0" w:rsidRPr="00210405" w:rsidRDefault="001820A0" w:rsidP="007A21E4">
      <w:pPr>
        <w:pStyle w:val="Akapitzlist"/>
        <w:numPr>
          <w:ilvl w:val="0"/>
          <w:numId w:val="13"/>
        </w:numPr>
        <w:tabs>
          <w:tab w:val="left" w:pos="387"/>
        </w:tabs>
        <w:spacing w:before="4"/>
        <w:ind w:right="10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są zgodne z ich wyszczególnieniem i charakterystyką podaną w dokumentacji projektowej i specyfikacji technicznej (szczegółowej),</w:t>
      </w:r>
    </w:p>
    <w:p w14:paraId="2E09F138" w14:textId="77777777" w:rsidR="001820A0" w:rsidRPr="00210405" w:rsidRDefault="001820A0" w:rsidP="007A21E4">
      <w:pPr>
        <w:pStyle w:val="Akapitzlist"/>
        <w:numPr>
          <w:ilvl w:val="0"/>
          <w:numId w:val="13"/>
        </w:numPr>
        <w:tabs>
          <w:tab w:val="left" w:pos="387"/>
        </w:tabs>
        <w:spacing w:before="3"/>
        <w:ind w:right="11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są właściwie opakowane, firmowo zamknięte (bez oznak naruszenia zamknięć) i oznakowane (pełna nazwa wyrobu, ewentualnie nazwa handlowa oraz symbol handlowy wyrobu),</w:t>
      </w:r>
    </w:p>
    <w:p w14:paraId="4E77C6E9" w14:textId="77777777" w:rsidR="001820A0" w:rsidRPr="00210405" w:rsidRDefault="001820A0" w:rsidP="007A21E4">
      <w:pPr>
        <w:pStyle w:val="Akapitzlist"/>
        <w:numPr>
          <w:ilvl w:val="0"/>
          <w:numId w:val="13"/>
        </w:numPr>
        <w:tabs>
          <w:tab w:val="left" w:pos="387"/>
        </w:tabs>
        <w:spacing w:before="6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spełniają wymagane właściwości wskazane odpowiednimi dokumentami odniesienia,</w:t>
      </w:r>
    </w:p>
    <w:p w14:paraId="6416C31E" w14:textId="77777777" w:rsidR="001820A0" w:rsidRPr="00210405" w:rsidRDefault="001820A0" w:rsidP="007A21E4">
      <w:pPr>
        <w:pStyle w:val="Akapitzlist"/>
        <w:numPr>
          <w:ilvl w:val="0"/>
          <w:numId w:val="13"/>
        </w:numPr>
        <w:tabs>
          <w:tab w:val="left" w:pos="387"/>
        </w:tabs>
        <w:spacing w:line="242" w:lineRule="auto"/>
        <w:ind w:right="11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producent dostarczył dokumenty świadczące o dopuszczeniu do obrotu i powszechnego lub jednostkowego zastosowania wyrobów oraz karty techniczne (katalogowe) wyrobów lub firmowe wytyczne (zalecenia) stosowania wyrobów,</w:t>
      </w:r>
    </w:p>
    <w:p w14:paraId="58483402" w14:textId="77777777" w:rsidR="001820A0" w:rsidRPr="00210405" w:rsidRDefault="001820A0" w:rsidP="007A21E4">
      <w:pPr>
        <w:pStyle w:val="Akapitzlist"/>
        <w:numPr>
          <w:ilvl w:val="0"/>
          <w:numId w:val="13"/>
        </w:numPr>
        <w:tabs>
          <w:tab w:val="left" w:pos="387"/>
        </w:tabs>
        <w:spacing w:before="0" w:line="242" w:lineRule="auto"/>
        <w:ind w:right="11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spełniają wymagania wynikające z ich terminu przydatności do użycia (termin zakończenia robót tynkarskich powinien się kończyć przed zakończeniem podanych na opakowaniach terminów przydatności do stosowania odpowiednich wyrobów).</w:t>
      </w:r>
    </w:p>
    <w:p w14:paraId="65000FF5" w14:textId="77777777" w:rsidR="001820A0" w:rsidRPr="00210405" w:rsidRDefault="001820A0" w:rsidP="001820A0">
      <w:pPr>
        <w:pStyle w:val="Tekstpodstawowy"/>
        <w:ind w:right="11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Przyjęcie materiałów i wyrobów na budowę powinno być potwierdzone wpisem do dziennika budowy lub protokołem przyjęcia materiałów.</w:t>
      </w:r>
    </w:p>
    <w:p w14:paraId="4E712509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2"/>
        <w:jc w:val="both"/>
        <w:rPr>
          <w:rFonts w:asciiTheme="minorHAnsi" w:hAnsiTheme="minorHAnsi" w:cstheme="minorHAnsi"/>
        </w:rPr>
      </w:pPr>
      <w:bookmarkStart w:id="13" w:name="_Toc152672422"/>
      <w:r w:rsidRPr="00210405">
        <w:rPr>
          <w:rFonts w:asciiTheme="minorHAnsi" w:hAnsiTheme="minorHAnsi" w:cstheme="minorHAnsi"/>
        </w:rPr>
        <w:t>Warunki przechowywania materiałów i wyrobów do robót tynkarskich</w:t>
      </w:r>
      <w:bookmarkEnd w:id="13"/>
    </w:p>
    <w:p w14:paraId="65A6ADD9" w14:textId="77777777" w:rsidR="001820A0" w:rsidRPr="00210405" w:rsidRDefault="001820A0" w:rsidP="001820A0">
      <w:pPr>
        <w:pStyle w:val="Tekstpodstawowy"/>
        <w:spacing w:before="2" w:line="242" w:lineRule="auto"/>
        <w:ind w:right="105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Materiały i wyroby do robót tynkarskich powinny być przechowywane i magazynowane zgodnie z instrukcją producenta oraz wymaganiami odpowiednich dokumentów odniesienia tj. norm bądź aprobat technicznych.</w:t>
      </w:r>
    </w:p>
    <w:p w14:paraId="46684708" w14:textId="77777777" w:rsidR="001820A0" w:rsidRPr="00210405" w:rsidRDefault="001820A0" w:rsidP="001820A0">
      <w:pPr>
        <w:pStyle w:val="Tekstpodstawowy"/>
        <w:ind w:right="103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Pomieszczenie magazynowe do przechowywania materiałów i wyrobów opakowanych powinno być kryte, suche oraz zabezpieczone przed zawilgoceniem, opadami atmosferycznymi, przemarznięciem i przed działaniem promieni słonecznych.</w:t>
      </w:r>
    </w:p>
    <w:p w14:paraId="2979D8A5" w14:textId="77777777" w:rsidR="001820A0" w:rsidRPr="00210405" w:rsidRDefault="001820A0" w:rsidP="001820A0">
      <w:pPr>
        <w:pStyle w:val="Tekstpodstawowy"/>
        <w:spacing w:before="5" w:line="242" w:lineRule="auto"/>
        <w:ind w:right="109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Wyroby tynkarskie konfekcjonowane powinny być przechowywane w oryginalnych, zamkniętych opakowaniach w temperaturze powyżej +5°C a poniżej +35°C. Wyroby pakowane w worki powinny być układane na paletach lub drewnianej wentylowanej podłodze, w ilości warstw nie większej niż 10.</w:t>
      </w:r>
    </w:p>
    <w:p w14:paraId="42790A82" w14:textId="77777777" w:rsidR="001820A0" w:rsidRPr="00210405" w:rsidRDefault="001820A0" w:rsidP="001820A0">
      <w:pPr>
        <w:pStyle w:val="Tekstpodstawowy"/>
        <w:spacing w:before="1" w:line="242" w:lineRule="auto"/>
        <w:ind w:right="104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Jeżeli nie ma możliwości poboru wody na miejscu wykonywania robót, to wodę należy przechowywać w szczelnych i czystych pojemnikach lub cysternach. Nie wolno przechowywać wody w opakowaniach po środkach chemicznych lub w takich, w których wcześniej przetrzymywano materiały mogące zmienić skład chemiczny wody.</w:t>
      </w:r>
    </w:p>
    <w:p w14:paraId="3894EB87" w14:textId="77777777" w:rsidR="001820A0" w:rsidRPr="00210405" w:rsidRDefault="001820A0" w:rsidP="007A21E4">
      <w:pPr>
        <w:pStyle w:val="Nagwek11"/>
        <w:numPr>
          <w:ilvl w:val="0"/>
          <w:numId w:val="15"/>
        </w:numPr>
        <w:tabs>
          <w:tab w:val="left" w:pos="286"/>
        </w:tabs>
        <w:spacing w:before="91"/>
        <w:ind w:right="0"/>
        <w:jc w:val="both"/>
        <w:rPr>
          <w:rFonts w:asciiTheme="minorHAnsi" w:hAnsiTheme="minorHAnsi" w:cstheme="minorHAnsi"/>
        </w:rPr>
      </w:pPr>
      <w:bookmarkStart w:id="14" w:name="_Toc152672423"/>
      <w:r w:rsidRPr="00210405">
        <w:rPr>
          <w:rFonts w:asciiTheme="minorHAnsi" w:hAnsiTheme="minorHAnsi" w:cstheme="minorHAnsi"/>
        </w:rPr>
        <w:t>SPRZĘT</w:t>
      </w:r>
      <w:bookmarkEnd w:id="14"/>
    </w:p>
    <w:p w14:paraId="441C6CC4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2"/>
        <w:jc w:val="both"/>
        <w:rPr>
          <w:rFonts w:asciiTheme="minorHAnsi" w:hAnsiTheme="minorHAnsi" w:cstheme="minorHAnsi"/>
        </w:rPr>
      </w:pPr>
      <w:bookmarkStart w:id="15" w:name="_Toc152672424"/>
      <w:r w:rsidRPr="00210405">
        <w:rPr>
          <w:rFonts w:asciiTheme="minorHAnsi" w:hAnsiTheme="minorHAnsi" w:cstheme="minorHAnsi"/>
        </w:rPr>
        <w:t>Ogólne wymagania dotyczące sprzętu</w:t>
      </w:r>
      <w:bookmarkEnd w:id="15"/>
    </w:p>
    <w:p w14:paraId="11856310" w14:textId="77777777" w:rsidR="001820A0" w:rsidRPr="00210405" w:rsidRDefault="001820A0" w:rsidP="001820A0">
      <w:pPr>
        <w:pStyle w:val="Tekstpodstawowy"/>
        <w:spacing w:before="2"/>
        <w:ind w:left="8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lastRenderedPageBreak/>
        <w:t>Ogólne wymagania dotyczące sprzętu podano w ST „Wymagania ogólne” pkt 3</w:t>
      </w:r>
    </w:p>
    <w:p w14:paraId="453617B5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0"/>
        <w:jc w:val="both"/>
        <w:rPr>
          <w:rFonts w:asciiTheme="minorHAnsi" w:hAnsiTheme="minorHAnsi" w:cstheme="minorHAnsi"/>
        </w:rPr>
      </w:pPr>
      <w:bookmarkStart w:id="16" w:name="_Toc152672425"/>
      <w:r w:rsidRPr="00210405">
        <w:rPr>
          <w:rFonts w:asciiTheme="minorHAnsi" w:hAnsiTheme="minorHAnsi" w:cstheme="minorHAnsi"/>
        </w:rPr>
        <w:t>Sprzęt do wykonywania tynków zwykłych</w:t>
      </w:r>
      <w:bookmarkEnd w:id="16"/>
    </w:p>
    <w:p w14:paraId="47384BC0" w14:textId="77777777" w:rsidR="001820A0" w:rsidRPr="00210405" w:rsidRDefault="001820A0" w:rsidP="001820A0">
      <w:pPr>
        <w:pStyle w:val="Tekstpodstawowy"/>
        <w:spacing w:before="4"/>
        <w:ind w:right="111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Wykonawca jest zobowiązany do używania takiego sprzętu i narzędzi, które nie spowodują niekorzystnego wpływu na jakość materiałów i wykonywanych robót oraz będą przyjazne dla środowiska.</w:t>
      </w:r>
    </w:p>
    <w:p w14:paraId="1876611F" w14:textId="77777777" w:rsidR="00AC32E6" w:rsidRPr="00210405" w:rsidRDefault="00AC32E6" w:rsidP="003E1EB2">
      <w:pPr>
        <w:pStyle w:val="Tekstpodstawowy"/>
        <w:spacing w:before="5"/>
        <w:ind w:left="0"/>
        <w:rPr>
          <w:rFonts w:asciiTheme="minorHAnsi" w:hAnsiTheme="minorHAnsi" w:cstheme="minorHAnsi"/>
        </w:rPr>
      </w:pPr>
    </w:p>
    <w:p w14:paraId="1078AAA5" w14:textId="77777777" w:rsidR="001820A0" w:rsidRPr="00210405" w:rsidRDefault="001820A0" w:rsidP="001820A0">
      <w:pPr>
        <w:pStyle w:val="Tekstpodstawowy"/>
        <w:spacing w:before="5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Przy doborze sprzętu i narzędzi należy uwzględnić również wymagania producenta.</w:t>
      </w:r>
    </w:p>
    <w:p w14:paraId="00374141" w14:textId="77777777" w:rsidR="001820A0" w:rsidRPr="00210405" w:rsidRDefault="001820A0" w:rsidP="001820A0">
      <w:pPr>
        <w:pStyle w:val="Tekstpodstawowy"/>
        <w:spacing w:before="2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Do wykonywania robót tynkarskich należy stosować następujący sprzęt i narzędzia pomocnicze:</w:t>
      </w:r>
    </w:p>
    <w:p w14:paraId="62CF0EC3" w14:textId="77777777" w:rsidR="001820A0" w:rsidRPr="00210405" w:rsidRDefault="001820A0" w:rsidP="007A21E4">
      <w:pPr>
        <w:pStyle w:val="Akapitzlist"/>
        <w:numPr>
          <w:ilvl w:val="0"/>
          <w:numId w:val="11"/>
        </w:numPr>
        <w:tabs>
          <w:tab w:val="left" w:pos="387"/>
        </w:tabs>
        <w:spacing w:line="242" w:lineRule="auto"/>
        <w:ind w:right="102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do przygotowania podłoża – młotki, szczotki druciane, odkurzacze przemysłowe, urządzenia do mycia hydrodynamicznego, urządzenia do czyszczenia strumieniowo-ściernego, termometry elektroniczne, wilgotnościomierze elektryczne, przyrządy do badania wytrzymałości podłoża,</w:t>
      </w:r>
    </w:p>
    <w:p w14:paraId="3C7638DE" w14:textId="77777777" w:rsidR="001820A0" w:rsidRPr="00210405" w:rsidRDefault="001820A0" w:rsidP="007A21E4">
      <w:pPr>
        <w:pStyle w:val="Akapitzlist"/>
        <w:numPr>
          <w:ilvl w:val="0"/>
          <w:numId w:val="11"/>
        </w:numPr>
        <w:tabs>
          <w:tab w:val="left" w:pos="387"/>
        </w:tabs>
        <w:spacing w:before="0"/>
        <w:ind w:right="103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do przygotowania zapraw – betoniarki, mieszarki do zapraw, przewoźne zbiorniki na wodę, naczynia i wiertarki z mieszadłem wolnoobrotowym,</w:t>
      </w:r>
    </w:p>
    <w:p w14:paraId="1E705F56" w14:textId="77777777" w:rsidR="001820A0" w:rsidRPr="00210405" w:rsidRDefault="001820A0" w:rsidP="007A21E4">
      <w:pPr>
        <w:pStyle w:val="Akapitzlist"/>
        <w:numPr>
          <w:ilvl w:val="0"/>
          <w:numId w:val="11"/>
        </w:numPr>
        <w:tabs>
          <w:tab w:val="left" w:pos="387"/>
        </w:tabs>
        <w:spacing w:before="3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do nakładania zaprawy – agregaty tynkarskie, pompy do zapraw, kielnie, pace.</w:t>
      </w:r>
    </w:p>
    <w:p w14:paraId="5806330B" w14:textId="77777777" w:rsidR="001820A0" w:rsidRPr="00210405" w:rsidRDefault="001820A0" w:rsidP="007A21E4">
      <w:pPr>
        <w:pStyle w:val="Nagwek11"/>
        <w:numPr>
          <w:ilvl w:val="0"/>
          <w:numId w:val="15"/>
        </w:numPr>
        <w:tabs>
          <w:tab w:val="left" w:pos="286"/>
        </w:tabs>
        <w:spacing w:before="122"/>
        <w:ind w:right="0"/>
        <w:jc w:val="both"/>
        <w:rPr>
          <w:rFonts w:asciiTheme="minorHAnsi" w:hAnsiTheme="minorHAnsi" w:cstheme="minorHAnsi"/>
        </w:rPr>
      </w:pPr>
      <w:bookmarkStart w:id="17" w:name="_Toc152672426"/>
      <w:r w:rsidRPr="00210405">
        <w:rPr>
          <w:rFonts w:asciiTheme="minorHAnsi" w:hAnsiTheme="minorHAnsi" w:cstheme="minorHAnsi"/>
        </w:rPr>
        <w:t>TRANSPORT</w:t>
      </w:r>
      <w:bookmarkEnd w:id="17"/>
    </w:p>
    <w:p w14:paraId="00E10DCF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5"/>
        <w:jc w:val="both"/>
        <w:rPr>
          <w:rFonts w:asciiTheme="minorHAnsi" w:hAnsiTheme="minorHAnsi" w:cstheme="minorHAnsi"/>
        </w:rPr>
      </w:pPr>
      <w:bookmarkStart w:id="18" w:name="_Toc152672427"/>
      <w:r w:rsidRPr="00210405">
        <w:rPr>
          <w:rFonts w:asciiTheme="minorHAnsi" w:hAnsiTheme="minorHAnsi" w:cstheme="minorHAnsi"/>
        </w:rPr>
        <w:t>Ogólne wymagania dotyczące transportu</w:t>
      </w:r>
      <w:bookmarkEnd w:id="18"/>
    </w:p>
    <w:p w14:paraId="54DB6563" w14:textId="77777777" w:rsidR="001820A0" w:rsidRPr="00210405" w:rsidRDefault="001820A0" w:rsidP="001820A0">
      <w:pPr>
        <w:pStyle w:val="Tekstpodstawowy"/>
        <w:spacing w:before="1"/>
        <w:ind w:left="8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Ogólne wymagania dotyczące transportu podano w ST „Wymagania ogólne” pkt 4</w:t>
      </w:r>
    </w:p>
    <w:p w14:paraId="7FCD60BA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2"/>
        <w:jc w:val="both"/>
        <w:rPr>
          <w:rFonts w:asciiTheme="minorHAnsi" w:hAnsiTheme="minorHAnsi" w:cstheme="minorHAnsi"/>
        </w:rPr>
      </w:pPr>
      <w:bookmarkStart w:id="19" w:name="_Toc152672428"/>
      <w:r w:rsidRPr="00210405">
        <w:rPr>
          <w:rFonts w:asciiTheme="minorHAnsi" w:hAnsiTheme="minorHAnsi" w:cstheme="minorHAnsi"/>
        </w:rPr>
        <w:t>Transport materiałów</w:t>
      </w:r>
      <w:bookmarkEnd w:id="19"/>
    </w:p>
    <w:p w14:paraId="0504BC1B" w14:textId="77777777" w:rsidR="001820A0" w:rsidRPr="00210405" w:rsidRDefault="001820A0" w:rsidP="007A21E4">
      <w:pPr>
        <w:pStyle w:val="Akapitzlist"/>
        <w:numPr>
          <w:ilvl w:val="0"/>
          <w:numId w:val="10"/>
        </w:numPr>
        <w:tabs>
          <w:tab w:val="left" w:pos="821"/>
        </w:tabs>
        <w:spacing w:line="242" w:lineRule="auto"/>
        <w:ind w:right="112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 xml:space="preserve">Cement i wapno </w:t>
      </w:r>
      <w:proofErr w:type="spellStart"/>
      <w:r w:rsidRPr="00210405">
        <w:rPr>
          <w:rFonts w:asciiTheme="minorHAnsi" w:hAnsiTheme="minorHAnsi" w:cstheme="minorHAnsi"/>
          <w:sz w:val="20"/>
        </w:rPr>
        <w:t>suchogaszone</w:t>
      </w:r>
      <w:proofErr w:type="spellEnd"/>
      <w:r w:rsidRPr="00210405">
        <w:rPr>
          <w:rFonts w:asciiTheme="minorHAnsi" w:hAnsiTheme="minorHAnsi" w:cstheme="minorHAnsi"/>
          <w:sz w:val="20"/>
        </w:rPr>
        <w:t xml:space="preserve"> luzem należy przewozić cemento­wozem, natomiast cement i wapno </w:t>
      </w:r>
      <w:proofErr w:type="spellStart"/>
      <w:r w:rsidRPr="00210405">
        <w:rPr>
          <w:rFonts w:asciiTheme="minorHAnsi" w:hAnsiTheme="minorHAnsi" w:cstheme="minorHAnsi"/>
          <w:sz w:val="20"/>
        </w:rPr>
        <w:t>suchogaszone</w:t>
      </w:r>
      <w:proofErr w:type="spellEnd"/>
      <w:r w:rsidRPr="00210405">
        <w:rPr>
          <w:rFonts w:asciiTheme="minorHAnsi" w:hAnsiTheme="minorHAnsi" w:cstheme="minorHAnsi"/>
          <w:sz w:val="20"/>
        </w:rPr>
        <w:t xml:space="preserve"> workowane można przewozić dowolnymi środkami transportu i w odpowiedni sposób zabezpieczone przed zawilgoce­niem;</w:t>
      </w:r>
    </w:p>
    <w:p w14:paraId="21B10717" w14:textId="77777777" w:rsidR="001820A0" w:rsidRPr="00210405" w:rsidRDefault="001820A0" w:rsidP="007A21E4">
      <w:pPr>
        <w:pStyle w:val="Akapitzlist"/>
        <w:numPr>
          <w:ilvl w:val="0"/>
          <w:numId w:val="10"/>
        </w:numPr>
        <w:tabs>
          <w:tab w:val="left" w:pos="821"/>
        </w:tabs>
        <w:spacing w:before="0"/>
        <w:ind w:right="113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Wapno gaszone w postaci ciasta wapiennego można przewozić w skrzyniach lub pojemnikach stalowych;</w:t>
      </w:r>
    </w:p>
    <w:p w14:paraId="1F69C870" w14:textId="77777777" w:rsidR="001820A0" w:rsidRPr="00210405" w:rsidRDefault="001820A0" w:rsidP="007A21E4">
      <w:pPr>
        <w:pStyle w:val="Akapitzlist"/>
        <w:numPr>
          <w:ilvl w:val="0"/>
          <w:numId w:val="10"/>
        </w:numPr>
        <w:tabs>
          <w:tab w:val="left" w:pos="821"/>
        </w:tabs>
        <w:spacing w:before="0" w:line="242" w:lineRule="auto"/>
        <w:ind w:right="109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Kruszywa można przewozić dowolnymi środkami transportu w warunkach zabezpieczających je przed zanieczyszczeniem, zmieszaniem z innymi asortymentami kruszywa lub jego frakcjami i nadmiernym zawilgoceniem.</w:t>
      </w:r>
    </w:p>
    <w:p w14:paraId="383B2450" w14:textId="77777777" w:rsidR="001820A0" w:rsidRPr="00210405" w:rsidRDefault="001820A0" w:rsidP="007A21E4">
      <w:pPr>
        <w:pStyle w:val="Nagwek11"/>
        <w:numPr>
          <w:ilvl w:val="0"/>
          <w:numId w:val="15"/>
        </w:numPr>
        <w:tabs>
          <w:tab w:val="left" w:pos="286"/>
        </w:tabs>
        <w:spacing w:before="117"/>
        <w:ind w:right="0"/>
        <w:jc w:val="both"/>
        <w:rPr>
          <w:rFonts w:asciiTheme="minorHAnsi" w:hAnsiTheme="minorHAnsi" w:cstheme="minorHAnsi"/>
        </w:rPr>
      </w:pPr>
      <w:bookmarkStart w:id="20" w:name="_Toc152672429"/>
      <w:r w:rsidRPr="00210405">
        <w:rPr>
          <w:rFonts w:asciiTheme="minorHAnsi" w:hAnsiTheme="minorHAnsi" w:cstheme="minorHAnsi"/>
        </w:rPr>
        <w:t>WYKONANIE ROBÓT</w:t>
      </w:r>
      <w:bookmarkEnd w:id="20"/>
    </w:p>
    <w:p w14:paraId="4FECF0AC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3"/>
        <w:jc w:val="both"/>
        <w:rPr>
          <w:rFonts w:asciiTheme="minorHAnsi" w:hAnsiTheme="minorHAnsi" w:cstheme="minorHAnsi"/>
        </w:rPr>
      </w:pPr>
      <w:bookmarkStart w:id="21" w:name="_Toc152672430"/>
      <w:r w:rsidRPr="00210405">
        <w:rPr>
          <w:rFonts w:asciiTheme="minorHAnsi" w:hAnsiTheme="minorHAnsi" w:cstheme="minorHAnsi"/>
        </w:rPr>
        <w:t>Ogólne zasady wykonania robót</w:t>
      </w:r>
      <w:bookmarkEnd w:id="21"/>
    </w:p>
    <w:p w14:paraId="4FD9C7A2" w14:textId="77777777" w:rsidR="001820A0" w:rsidRPr="00210405" w:rsidRDefault="001820A0" w:rsidP="001820A0">
      <w:pPr>
        <w:pStyle w:val="Tekstpodstawowy"/>
        <w:spacing w:before="1"/>
        <w:ind w:left="8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Ogólne zasady wykonania robót podano w ST „Wymagania ogólne” pkt 5</w:t>
      </w:r>
    </w:p>
    <w:p w14:paraId="70CC60D3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2"/>
        <w:jc w:val="both"/>
        <w:rPr>
          <w:rFonts w:asciiTheme="minorHAnsi" w:hAnsiTheme="minorHAnsi" w:cstheme="minorHAnsi"/>
        </w:rPr>
      </w:pPr>
      <w:bookmarkStart w:id="22" w:name="_Toc152672431"/>
      <w:r w:rsidRPr="00210405">
        <w:rPr>
          <w:rFonts w:asciiTheme="minorHAnsi" w:hAnsiTheme="minorHAnsi" w:cstheme="minorHAnsi"/>
        </w:rPr>
        <w:t>Warunki przystąpienia do robót</w:t>
      </w:r>
      <w:bookmarkEnd w:id="22"/>
    </w:p>
    <w:p w14:paraId="6BAB69B9" w14:textId="77777777" w:rsidR="001820A0" w:rsidRPr="00210405" w:rsidRDefault="001820A0" w:rsidP="001820A0">
      <w:pPr>
        <w:pStyle w:val="Tekstpodstawowy"/>
        <w:spacing w:before="4"/>
        <w:ind w:right="101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Przed przystąpieniem do wykonywania robót tynkowych powinny być zakończone wszystkie roboty stanu surowego, roboty instalacyjne podtynkowe, zamurowane prze­bicia i bruzdy, osadzone ościeżnice drzwiowe i okienne.</w:t>
      </w:r>
    </w:p>
    <w:p w14:paraId="2A03CDC7" w14:textId="77777777" w:rsidR="001820A0" w:rsidRPr="00210405" w:rsidRDefault="001820A0" w:rsidP="001820A0">
      <w:pPr>
        <w:pStyle w:val="Tekstpodstawowy"/>
        <w:spacing w:before="6"/>
        <w:ind w:right="113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Zaleca się przystąpienie do wykonywania tynków po okresie osiadania i skurczów murów tj. po upływie 4-6 miesięcy po zakończeniu stanu surowego.</w:t>
      </w:r>
    </w:p>
    <w:p w14:paraId="6EFA1099" w14:textId="77777777" w:rsidR="001820A0" w:rsidRPr="00210405" w:rsidRDefault="001820A0" w:rsidP="001820A0">
      <w:pPr>
        <w:pStyle w:val="Tekstpodstawowy"/>
        <w:spacing w:before="3" w:line="244" w:lineRule="auto"/>
        <w:ind w:right="104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Tynki należy wykonywać w temperaturze nie niższej niż +5°C oraz pod warunkiem, że w ciągu doby nie nastąpi spadek poniżej 0°C.</w:t>
      </w:r>
    </w:p>
    <w:p w14:paraId="0A5BBE76" w14:textId="77777777" w:rsidR="001820A0" w:rsidRPr="00210405" w:rsidRDefault="001820A0" w:rsidP="001820A0">
      <w:pPr>
        <w:pStyle w:val="Tekstpodstawowy"/>
        <w:spacing w:line="242" w:lineRule="auto"/>
        <w:ind w:right="101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 niższych temperaturach można wykonywać tynki jedynie przy zastosowaniu odpowiednich środków zabezpieczających, zgodnie z „Wytycznymi wykonywania robót budowlano- montażowych w okresie obniżonych temperatur”.</w:t>
      </w:r>
    </w:p>
    <w:p w14:paraId="7CA67886" w14:textId="77777777" w:rsidR="001820A0" w:rsidRPr="00210405" w:rsidRDefault="001820A0" w:rsidP="001820A0">
      <w:pPr>
        <w:spacing w:line="244" w:lineRule="auto"/>
        <w:ind w:left="100" w:right="115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Uwaga: Jeżeli istnieje prawdopodobieństwo wykonywania tynków w obniżonych temperaturach, w szczegółowej specyfikacji technicznej należy podać niezbędne wymagania i warunki.</w:t>
      </w:r>
    </w:p>
    <w:p w14:paraId="196AADB5" w14:textId="77777777" w:rsidR="001820A0" w:rsidRPr="00210405" w:rsidRDefault="001820A0" w:rsidP="001820A0">
      <w:pPr>
        <w:pStyle w:val="Tekstpodstawowy"/>
        <w:spacing w:line="242" w:lineRule="auto"/>
        <w:ind w:right="118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Zaleca się chronić świeżo wykonane tynki zewnętrzne w ciągu pierwszych dwóch dni przed nasłonecznieniem dłuższym niż dwie godziny dziennie.</w:t>
      </w:r>
    </w:p>
    <w:p w14:paraId="2C96CA81" w14:textId="77777777" w:rsidR="001820A0" w:rsidRPr="00210405" w:rsidRDefault="001820A0" w:rsidP="001820A0">
      <w:pPr>
        <w:pStyle w:val="Tekstpodstawowy"/>
        <w:ind w:right="10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 okresie wysokich temperatur świeżo wykonane tynki powinny być w czasie wiązania i twardnienia, tj. w ciągu 1 tygodnia, zwilżane wodą.</w:t>
      </w:r>
    </w:p>
    <w:p w14:paraId="2FE370DC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92"/>
        <w:jc w:val="both"/>
        <w:rPr>
          <w:rFonts w:asciiTheme="minorHAnsi" w:hAnsiTheme="minorHAnsi" w:cstheme="minorHAnsi"/>
        </w:rPr>
      </w:pPr>
      <w:bookmarkStart w:id="23" w:name="_Toc152672432"/>
      <w:r w:rsidRPr="00210405">
        <w:rPr>
          <w:rFonts w:asciiTheme="minorHAnsi" w:hAnsiTheme="minorHAnsi" w:cstheme="minorHAnsi"/>
        </w:rPr>
        <w:t>Przygotowanie podłoża</w:t>
      </w:r>
      <w:bookmarkEnd w:id="23"/>
    </w:p>
    <w:p w14:paraId="436D7207" w14:textId="77777777" w:rsidR="001820A0" w:rsidRPr="00210405" w:rsidRDefault="001820A0" w:rsidP="007A21E4">
      <w:pPr>
        <w:pStyle w:val="Akapitzlist"/>
        <w:numPr>
          <w:ilvl w:val="0"/>
          <w:numId w:val="9"/>
        </w:numPr>
        <w:tabs>
          <w:tab w:val="left" w:pos="821"/>
        </w:tabs>
        <w:ind w:right="10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Podłoża tynków zwykłych powinny odpowiadać wymaganiom normy PN-70/B-10100 p. 3.3.2.</w:t>
      </w:r>
    </w:p>
    <w:p w14:paraId="58BC42AB" w14:textId="77777777" w:rsidR="001820A0" w:rsidRPr="00210405" w:rsidRDefault="001820A0" w:rsidP="007A21E4">
      <w:pPr>
        <w:pStyle w:val="Akapitzlist"/>
        <w:numPr>
          <w:ilvl w:val="0"/>
          <w:numId w:val="9"/>
        </w:numPr>
        <w:tabs>
          <w:tab w:val="left" w:pos="821"/>
        </w:tabs>
        <w:spacing w:before="1"/>
        <w:ind w:right="112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W ścianach przewidzianych do tynkowania nie należy w czasie murowania ścian wypełniać zaprawą spoin przy zewnętrznych licach na głębokości 5-10 mm.</w:t>
      </w:r>
    </w:p>
    <w:p w14:paraId="495688F1" w14:textId="77777777" w:rsidR="001820A0" w:rsidRPr="00210405" w:rsidRDefault="001820A0" w:rsidP="007A21E4">
      <w:pPr>
        <w:pStyle w:val="Akapitzlist"/>
        <w:numPr>
          <w:ilvl w:val="0"/>
          <w:numId w:val="9"/>
        </w:numPr>
        <w:tabs>
          <w:tab w:val="left" w:pos="821"/>
        </w:tabs>
        <w:spacing w:line="242" w:lineRule="auto"/>
        <w:ind w:right="10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 xml:space="preserve">Bezpośrednio przed tynkowaniem podłoże należy oczyścić z kurzu szczotkami oraz usunąć plamy z rdzy i substancji tłustych. Plamy z substancji tłustych można usunąć 10-proc. roztworem szarego mydła lub </w:t>
      </w:r>
      <w:r w:rsidRPr="00210405">
        <w:rPr>
          <w:rFonts w:asciiTheme="minorHAnsi" w:hAnsiTheme="minorHAnsi" w:cstheme="minorHAnsi"/>
          <w:sz w:val="20"/>
        </w:rPr>
        <w:lastRenderedPageBreak/>
        <w:t>wypalając je lampą benzynową.</w:t>
      </w:r>
    </w:p>
    <w:p w14:paraId="17D051D5" w14:textId="77777777" w:rsidR="001820A0" w:rsidRPr="00210405" w:rsidRDefault="001820A0" w:rsidP="007A21E4">
      <w:pPr>
        <w:pStyle w:val="Akapitzlist"/>
        <w:numPr>
          <w:ilvl w:val="0"/>
          <w:numId w:val="9"/>
        </w:numPr>
        <w:tabs>
          <w:tab w:val="left" w:pos="821"/>
        </w:tabs>
        <w:spacing w:before="0" w:line="243" w:lineRule="exact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Nadmiernie suchą powierzchnię podłoża należy zwilżyć wodą.</w:t>
      </w:r>
    </w:p>
    <w:p w14:paraId="2DE00869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19"/>
        <w:jc w:val="both"/>
        <w:rPr>
          <w:rFonts w:asciiTheme="minorHAnsi" w:hAnsiTheme="minorHAnsi" w:cstheme="minorHAnsi"/>
        </w:rPr>
      </w:pPr>
      <w:bookmarkStart w:id="24" w:name="_Toc152672433"/>
      <w:r w:rsidRPr="00210405">
        <w:rPr>
          <w:rFonts w:asciiTheme="minorHAnsi" w:hAnsiTheme="minorHAnsi" w:cstheme="minorHAnsi"/>
        </w:rPr>
        <w:t>Wykonywanie tynków zwykłych</w:t>
      </w:r>
      <w:bookmarkEnd w:id="24"/>
    </w:p>
    <w:p w14:paraId="06AF682F" w14:textId="77777777" w:rsidR="00AC32E6" w:rsidRPr="00204714" w:rsidRDefault="001820A0" w:rsidP="00AC32E6">
      <w:pPr>
        <w:pStyle w:val="Akapitzlist"/>
        <w:numPr>
          <w:ilvl w:val="0"/>
          <w:numId w:val="8"/>
        </w:numPr>
        <w:tabs>
          <w:tab w:val="left" w:pos="820"/>
          <w:tab w:val="left" w:pos="821"/>
        </w:tabs>
        <w:ind w:right="106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Sposoby wykonania tynków zwykłych jedno- i wielowarstwowych powinny być zgodne z danymi określonymi w tabl. 4 normy PN-70/B-10100.</w:t>
      </w:r>
    </w:p>
    <w:p w14:paraId="123C83DB" w14:textId="77777777" w:rsidR="001820A0" w:rsidRPr="00210405" w:rsidRDefault="001820A0" w:rsidP="007A21E4">
      <w:pPr>
        <w:pStyle w:val="Akapitzlist"/>
        <w:numPr>
          <w:ilvl w:val="0"/>
          <w:numId w:val="8"/>
        </w:numPr>
        <w:tabs>
          <w:tab w:val="left" w:pos="820"/>
          <w:tab w:val="left" w:pos="821"/>
        </w:tabs>
        <w:spacing w:before="4"/>
        <w:ind w:right="11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Grubości tynków zwykłych w zależności od ich kategorii oraz od rodzaju podłoża lub podkładu powinny być zgodne z normą PN-70/B-10100.</w:t>
      </w:r>
    </w:p>
    <w:p w14:paraId="369B258D" w14:textId="77777777" w:rsidR="001820A0" w:rsidRPr="00210405" w:rsidRDefault="001820A0" w:rsidP="007A21E4">
      <w:pPr>
        <w:pStyle w:val="Akapitzlist"/>
        <w:numPr>
          <w:ilvl w:val="0"/>
          <w:numId w:val="8"/>
        </w:numPr>
        <w:tabs>
          <w:tab w:val="left" w:pos="820"/>
          <w:tab w:val="left" w:pos="821"/>
        </w:tabs>
        <w:ind w:right="115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Tynki zwykłe kategorii II i III należą do odmian powszechnie stosowanych, wykonywanych w sposób standardowy.</w:t>
      </w:r>
    </w:p>
    <w:p w14:paraId="78FC6684" w14:textId="77777777" w:rsidR="001820A0" w:rsidRPr="00210405" w:rsidRDefault="001820A0" w:rsidP="007A21E4">
      <w:pPr>
        <w:pStyle w:val="Akapitzlist"/>
        <w:numPr>
          <w:ilvl w:val="0"/>
          <w:numId w:val="8"/>
        </w:numPr>
        <w:tabs>
          <w:tab w:val="left" w:pos="820"/>
          <w:tab w:val="left" w:pos="821"/>
        </w:tabs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Tynki zwykłe kategorii IV zalicza się do odmian doborowych.</w:t>
      </w:r>
    </w:p>
    <w:p w14:paraId="05F5BD0F" w14:textId="77777777" w:rsidR="001820A0" w:rsidRPr="00210405" w:rsidRDefault="001820A0" w:rsidP="007A21E4">
      <w:pPr>
        <w:pStyle w:val="Akapitzlist"/>
        <w:numPr>
          <w:ilvl w:val="0"/>
          <w:numId w:val="8"/>
        </w:numPr>
        <w:tabs>
          <w:tab w:val="left" w:pos="821"/>
        </w:tabs>
        <w:ind w:right="115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Tynk trójwarstwowy powinien się składać z obrzutki, narzutu i gładzi. Narzut tynków wewnętrznych należy wykonać według pasów i listew kierunkowych.</w:t>
      </w:r>
    </w:p>
    <w:p w14:paraId="3F629987" w14:textId="77777777" w:rsidR="001820A0" w:rsidRPr="00210405" w:rsidRDefault="001820A0" w:rsidP="007A21E4">
      <w:pPr>
        <w:pStyle w:val="Akapitzlist"/>
        <w:numPr>
          <w:ilvl w:val="0"/>
          <w:numId w:val="8"/>
        </w:numPr>
        <w:tabs>
          <w:tab w:val="left" w:pos="821"/>
        </w:tabs>
        <w:spacing w:before="1"/>
        <w:ind w:right="103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Gładź należy nanosić po związaniu warstwy narzutu, lecz przed jej stwardnieniem. Podczas zacierania warstwa gładzi powinna być mocno dociskana do warstwy na­rzutu.</w:t>
      </w:r>
    </w:p>
    <w:p w14:paraId="44A8A8E8" w14:textId="77777777" w:rsidR="001820A0" w:rsidRPr="00210405" w:rsidRDefault="001820A0" w:rsidP="007A21E4">
      <w:pPr>
        <w:pStyle w:val="Akapitzlist"/>
        <w:numPr>
          <w:ilvl w:val="0"/>
          <w:numId w:val="8"/>
        </w:numPr>
        <w:tabs>
          <w:tab w:val="left" w:pos="821"/>
        </w:tabs>
        <w:spacing w:before="0" w:line="242" w:lineRule="auto"/>
        <w:ind w:right="104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Do wykonania tynków należy stosować zaprawy cementowo-wapienne: tynków nienarażonych na zawilgocenie – w proporcji 1:1:4; narażonych na zwilgocenie oraz w tynkach zewnętrznych – w proporcji 1:1:2.</w:t>
      </w:r>
    </w:p>
    <w:p w14:paraId="1564B675" w14:textId="77777777" w:rsidR="001820A0" w:rsidRPr="00210405" w:rsidRDefault="001820A0" w:rsidP="007A21E4">
      <w:pPr>
        <w:pStyle w:val="Nagwek11"/>
        <w:numPr>
          <w:ilvl w:val="0"/>
          <w:numId w:val="15"/>
        </w:numPr>
        <w:tabs>
          <w:tab w:val="left" w:pos="286"/>
        </w:tabs>
        <w:spacing w:before="117"/>
        <w:ind w:right="0"/>
        <w:jc w:val="both"/>
        <w:rPr>
          <w:rFonts w:asciiTheme="minorHAnsi" w:hAnsiTheme="minorHAnsi" w:cstheme="minorHAnsi"/>
        </w:rPr>
      </w:pPr>
      <w:bookmarkStart w:id="25" w:name="_Toc152672434"/>
      <w:r w:rsidRPr="00210405">
        <w:rPr>
          <w:rFonts w:asciiTheme="minorHAnsi" w:hAnsiTheme="minorHAnsi" w:cstheme="minorHAnsi"/>
        </w:rPr>
        <w:t>KONTROLA JAKOŚCI ROBÓT</w:t>
      </w:r>
      <w:bookmarkEnd w:id="25"/>
    </w:p>
    <w:p w14:paraId="53B868BD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3"/>
        <w:jc w:val="both"/>
        <w:rPr>
          <w:rFonts w:asciiTheme="minorHAnsi" w:hAnsiTheme="minorHAnsi" w:cstheme="minorHAnsi"/>
        </w:rPr>
      </w:pPr>
      <w:bookmarkStart w:id="26" w:name="_Toc152672435"/>
      <w:r w:rsidRPr="00210405">
        <w:rPr>
          <w:rFonts w:asciiTheme="minorHAnsi" w:hAnsiTheme="minorHAnsi" w:cstheme="minorHAnsi"/>
        </w:rPr>
        <w:t>Ogólne zasady kontroli jakości robót</w:t>
      </w:r>
      <w:bookmarkEnd w:id="26"/>
    </w:p>
    <w:p w14:paraId="64970A60" w14:textId="77777777" w:rsidR="001820A0" w:rsidRPr="00210405" w:rsidRDefault="001820A0" w:rsidP="001820A0">
      <w:pPr>
        <w:pStyle w:val="Tekstpodstawowy"/>
        <w:spacing w:before="1"/>
        <w:ind w:left="8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Ogólne zasady kontroli jakości robót podano w ST „Wymagania ogólne” pkt 6</w:t>
      </w:r>
    </w:p>
    <w:p w14:paraId="1175FE69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2"/>
        <w:jc w:val="both"/>
        <w:rPr>
          <w:rFonts w:asciiTheme="minorHAnsi" w:hAnsiTheme="minorHAnsi" w:cstheme="minorHAnsi"/>
        </w:rPr>
      </w:pPr>
      <w:bookmarkStart w:id="27" w:name="_Toc152672436"/>
      <w:r w:rsidRPr="00210405">
        <w:rPr>
          <w:rFonts w:asciiTheme="minorHAnsi" w:hAnsiTheme="minorHAnsi" w:cstheme="minorHAnsi"/>
        </w:rPr>
        <w:t>Badania przed przystąpieniem do robót tynkowych</w:t>
      </w:r>
      <w:bookmarkEnd w:id="27"/>
    </w:p>
    <w:p w14:paraId="76ADCD72" w14:textId="77777777" w:rsidR="001820A0" w:rsidRPr="00210405" w:rsidRDefault="001820A0" w:rsidP="001820A0">
      <w:pPr>
        <w:pStyle w:val="Tekstpodstawowy"/>
        <w:spacing w:before="4" w:line="242" w:lineRule="auto"/>
        <w:ind w:right="103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Przed przystąpieniem do robót tynkowych należy przeprowadzić badania materiałów, które będą wykorzystywane do wykonywania robót oraz kontrolę i odbiór (międzyoperacyjny) podłoży.</w:t>
      </w:r>
    </w:p>
    <w:p w14:paraId="04AF7D50" w14:textId="77777777" w:rsidR="001820A0" w:rsidRPr="00210405" w:rsidRDefault="001820A0" w:rsidP="007A21E4">
      <w:pPr>
        <w:pStyle w:val="Nagwek21"/>
        <w:numPr>
          <w:ilvl w:val="2"/>
          <w:numId w:val="7"/>
        </w:numPr>
        <w:tabs>
          <w:tab w:val="left" w:pos="605"/>
        </w:tabs>
        <w:spacing w:before="119"/>
        <w:jc w:val="both"/>
        <w:rPr>
          <w:rFonts w:asciiTheme="minorHAnsi" w:hAnsiTheme="minorHAnsi" w:cstheme="minorHAnsi"/>
        </w:rPr>
      </w:pPr>
      <w:bookmarkStart w:id="28" w:name="_Toc152672437"/>
      <w:r w:rsidRPr="00210405">
        <w:rPr>
          <w:rFonts w:asciiTheme="minorHAnsi" w:hAnsiTheme="minorHAnsi" w:cstheme="minorHAnsi"/>
        </w:rPr>
        <w:t>Badania materiałów</w:t>
      </w:r>
      <w:bookmarkEnd w:id="28"/>
    </w:p>
    <w:p w14:paraId="5B6712F1" w14:textId="77777777" w:rsidR="001820A0" w:rsidRPr="00210405" w:rsidRDefault="001820A0" w:rsidP="001820A0">
      <w:pPr>
        <w:pStyle w:val="Tekstpodstawowy"/>
        <w:spacing w:before="1" w:line="242" w:lineRule="auto"/>
        <w:ind w:right="108" w:firstLine="90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Badanie materiałów przeprowadza się pośrednio na podstawie zapisów w dzienniku budowy dotyczących przyjęcia materiałów na budowę oraz dokumentów towarzyszących wysyłce materiałów przez dostawcę, potwierdzających zgodność użytych materiałów z wymaganiami dokumentacji projektowej i niniejszej specyfikacji technicznej robót tynkowych, opracowanej dla realizowanego przedmiotu zamówienia (szczegółowej), oraz normami powołanymi w pkt. 2.2. niniejszej specyfikacji technicznej.</w:t>
      </w:r>
    </w:p>
    <w:p w14:paraId="1C4EA030" w14:textId="77777777" w:rsidR="001820A0" w:rsidRPr="00210405" w:rsidRDefault="001820A0" w:rsidP="007A21E4">
      <w:pPr>
        <w:pStyle w:val="Nagwek21"/>
        <w:numPr>
          <w:ilvl w:val="2"/>
          <w:numId w:val="7"/>
        </w:numPr>
        <w:tabs>
          <w:tab w:val="left" w:pos="605"/>
        </w:tabs>
        <w:spacing w:before="119"/>
        <w:jc w:val="both"/>
        <w:rPr>
          <w:rFonts w:asciiTheme="minorHAnsi" w:hAnsiTheme="minorHAnsi" w:cstheme="minorHAnsi"/>
        </w:rPr>
      </w:pPr>
      <w:bookmarkStart w:id="29" w:name="_Toc152672438"/>
      <w:r w:rsidRPr="00210405">
        <w:rPr>
          <w:rFonts w:asciiTheme="minorHAnsi" w:hAnsiTheme="minorHAnsi" w:cstheme="minorHAnsi"/>
        </w:rPr>
        <w:t>Badania przygotowania podłoży</w:t>
      </w:r>
      <w:bookmarkEnd w:id="29"/>
    </w:p>
    <w:p w14:paraId="0F6415DA" w14:textId="77777777" w:rsidR="001820A0" w:rsidRPr="00210405" w:rsidRDefault="001820A0" w:rsidP="001820A0">
      <w:pPr>
        <w:pStyle w:val="Tekstpodstawowy"/>
        <w:spacing w:before="4"/>
        <w:ind w:left="8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Stan podłoża podlega sprawdzeniu w zakresie:</w:t>
      </w:r>
    </w:p>
    <w:p w14:paraId="0DA6F975" w14:textId="77777777" w:rsidR="001820A0" w:rsidRPr="00210405" w:rsidRDefault="001820A0" w:rsidP="007A21E4">
      <w:pPr>
        <w:pStyle w:val="Akapitzlist"/>
        <w:numPr>
          <w:ilvl w:val="3"/>
          <w:numId w:val="7"/>
        </w:numPr>
        <w:tabs>
          <w:tab w:val="left" w:pos="821"/>
        </w:tabs>
        <w:spacing w:before="1"/>
        <w:ind w:right="108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wilgotności – poprzez ocenę wyglądu, próbę dotyku lub zwilżania, ewentualnie w razie potrzeby pomiar wilgotności szczątkowej przy pomocy wilgotnościomierza elektrycznego,</w:t>
      </w:r>
    </w:p>
    <w:p w14:paraId="59BCA5E4" w14:textId="77777777" w:rsidR="001820A0" w:rsidRPr="00210405" w:rsidRDefault="001820A0" w:rsidP="007A21E4">
      <w:pPr>
        <w:pStyle w:val="Akapitzlist"/>
        <w:numPr>
          <w:ilvl w:val="3"/>
          <w:numId w:val="7"/>
        </w:numPr>
        <w:tabs>
          <w:tab w:val="left" w:pos="821"/>
        </w:tabs>
        <w:spacing w:before="4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równości powierzchni – poprzez ocenę wyglądu i sprawdzenie przy pomocy łaty,</w:t>
      </w:r>
    </w:p>
    <w:p w14:paraId="3534F1FF" w14:textId="77777777" w:rsidR="001820A0" w:rsidRPr="00210405" w:rsidRDefault="001820A0" w:rsidP="007A21E4">
      <w:pPr>
        <w:pStyle w:val="Akapitzlist"/>
        <w:numPr>
          <w:ilvl w:val="3"/>
          <w:numId w:val="7"/>
        </w:numPr>
        <w:tabs>
          <w:tab w:val="left" w:pos="821"/>
        </w:tabs>
        <w:spacing w:line="242" w:lineRule="auto"/>
        <w:ind w:right="105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przywierających ciał obcych, kurzu i zabrudzenia – poprzez ocenę wyglądu i próbę ścierania,</w:t>
      </w:r>
    </w:p>
    <w:p w14:paraId="4B349921" w14:textId="77777777" w:rsidR="001820A0" w:rsidRPr="00210405" w:rsidRDefault="001820A0" w:rsidP="007A21E4">
      <w:pPr>
        <w:pStyle w:val="Akapitzlist"/>
        <w:numPr>
          <w:ilvl w:val="3"/>
          <w:numId w:val="7"/>
        </w:numPr>
        <w:tabs>
          <w:tab w:val="left" w:pos="821"/>
        </w:tabs>
        <w:spacing w:before="1"/>
        <w:ind w:right="109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obecności luźnych i zwietrzałych części podłoża – poprzez próbę drapania (skrobania) i dotyku,</w:t>
      </w:r>
    </w:p>
    <w:p w14:paraId="3BE36A7E" w14:textId="77777777" w:rsidR="001820A0" w:rsidRPr="00210405" w:rsidRDefault="001820A0" w:rsidP="007A21E4">
      <w:pPr>
        <w:pStyle w:val="Akapitzlist"/>
        <w:numPr>
          <w:ilvl w:val="3"/>
          <w:numId w:val="7"/>
        </w:numPr>
        <w:tabs>
          <w:tab w:val="left" w:pos="821"/>
        </w:tabs>
        <w:spacing w:before="4"/>
        <w:ind w:right="103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zabrudzenia powierzchni olejami, smarami, bitumami, farbami – poprzez ocenę wyglądu i próbę zwilżania,</w:t>
      </w:r>
    </w:p>
    <w:p w14:paraId="1E794602" w14:textId="77777777" w:rsidR="001820A0" w:rsidRPr="00210405" w:rsidRDefault="001820A0" w:rsidP="007A21E4">
      <w:pPr>
        <w:pStyle w:val="Akapitzlist"/>
        <w:numPr>
          <w:ilvl w:val="3"/>
          <w:numId w:val="7"/>
        </w:numPr>
        <w:tabs>
          <w:tab w:val="left" w:pos="820"/>
          <w:tab w:val="left" w:pos="821"/>
        </w:tabs>
        <w:spacing w:before="3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chłonności podłoża – poprzez ocenę wyglądu oraz próbę dotyku i zwilżania,</w:t>
      </w:r>
    </w:p>
    <w:p w14:paraId="2D7F7339" w14:textId="77777777" w:rsidR="001820A0" w:rsidRPr="00210405" w:rsidRDefault="001820A0" w:rsidP="007A21E4">
      <w:pPr>
        <w:pStyle w:val="Akapitzlist"/>
        <w:numPr>
          <w:ilvl w:val="3"/>
          <w:numId w:val="7"/>
        </w:numPr>
        <w:tabs>
          <w:tab w:val="left" w:pos="821"/>
        </w:tabs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obecność wykwitów – poprzez ocenę wyglądu,</w:t>
      </w:r>
    </w:p>
    <w:p w14:paraId="0D7429E7" w14:textId="77777777" w:rsidR="001820A0" w:rsidRPr="00210405" w:rsidRDefault="001820A0" w:rsidP="007A21E4">
      <w:pPr>
        <w:pStyle w:val="Akapitzlist"/>
        <w:numPr>
          <w:ilvl w:val="3"/>
          <w:numId w:val="7"/>
        </w:numPr>
        <w:tabs>
          <w:tab w:val="left" w:pos="821"/>
        </w:tabs>
        <w:spacing w:before="4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złuszczania i powierzchniowego odspajania podłoża – poprzez ocenę wyglądu.</w:t>
      </w:r>
    </w:p>
    <w:p w14:paraId="3C782E60" w14:textId="77777777" w:rsidR="001820A0" w:rsidRPr="00210405" w:rsidRDefault="001820A0" w:rsidP="001820A0">
      <w:pPr>
        <w:pStyle w:val="Tekstpodstawowy"/>
        <w:spacing w:before="92" w:line="242" w:lineRule="auto"/>
        <w:ind w:right="107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Wyniki badań powinny być porównane z wymaganiami podanymi w pkt. 5.3., a następnie odnotowane w formie protokołu kontroli, wpisane do dziennika budowy i akceptowane przez inspektora nadzoru.</w:t>
      </w:r>
    </w:p>
    <w:p w14:paraId="69980033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18"/>
        <w:jc w:val="both"/>
        <w:rPr>
          <w:rFonts w:asciiTheme="minorHAnsi" w:hAnsiTheme="minorHAnsi" w:cstheme="minorHAnsi"/>
        </w:rPr>
      </w:pPr>
      <w:bookmarkStart w:id="30" w:name="_Toc152672439"/>
      <w:r w:rsidRPr="00210405">
        <w:rPr>
          <w:rFonts w:asciiTheme="minorHAnsi" w:hAnsiTheme="minorHAnsi" w:cstheme="minorHAnsi"/>
        </w:rPr>
        <w:t>Badania w czasie robót</w:t>
      </w:r>
      <w:bookmarkEnd w:id="30"/>
    </w:p>
    <w:p w14:paraId="074C90E1" w14:textId="77777777" w:rsidR="001820A0" w:rsidRPr="00210405" w:rsidRDefault="001820A0" w:rsidP="007A21E4">
      <w:pPr>
        <w:pStyle w:val="Akapitzlist"/>
        <w:numPr>
          <w:ilvl w:val="0"/>
          <w:numId w:val="6"/>
        </w:numPr>
        <w:tabs>
          <w:tab w:val="left" w:pos="821"/>
        </w:tabs>
        <w:spacing w:line="242" w:lineRule="auto"/>
        <w:ind w:right="11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Badania w czasie robót tynkowych polegają na bieżącym sprawdzeniu zgodności ich wykonania z dokumentacją projektową oraz wymaganiami niniejszej specyfikacji technicznej.</w:t>
      </w:r>
    </w:p>
    <w:p w14:paraId="1F5EADE1" w14:textId="77777777" w:rsidR="001820A0" w:rsidRPr="00210405" w:rsidRDefault="001820A0" w:rsidP="007A21E4">
      <w:pPr>
        <w:pStyle w:val="Akapitzlist"/>
        <w:numPr>
          <w:ilvl w:val="0"/>
          <w:numId w:val="6"/>
        </w:numPr>
        <w:tabs>
          <w:tab w:val="left" w:pos="821"/>
        </w:tabs>
        <w:spacing w:before="0"/>
        <w:ind w:right="105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Częstotliwość oraz zakres badań zaprawy wytwarzanej na placu budowy, a w szczególności jej marki i konsystencji, powinny wynikać z normy PN-90/B-14501 „Zaprawy budowlane zwykłe”.</w:t>
      </w:r>
    </w:p>
    <w:p w14:paraId="0E4155AD" w14:textId="77777777" w:rsidR="001820A0" w:rsidRPr="00210405" w:rsidRDefault="001820A0" w:rsidP="007A21E4">
      <w:pPr>
        <w:pStyle w:val="Akapitzlist"/>
        <w:numPr>
          <w:ilvl w:val="0"/>
          <w:numId w:val="6"/>
        </w:numPr>
        <w:tabs>
          <w:tab w:val="left" w:pos="821"/>
        </w:tabs>
        <w:spacing w:before="1"/>
        <w:ind w:right="11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Wyniki badań materiałów i zapraw powinny być wpisywane do dziennika budowy i akceptowane przez Inspektora nadzoru.</w:t>
      </w:r>
    </w:p>
    <w:p w14:paraId="7B808584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4"/>
        <w:jc w:val="both"/>
        <w:rPr>
          <w:rFonts w:asciiTheme="minorHAnsi" w:hAnsiTheme="minorHAnsi" w:cstheme="minorHAnsi"/>
        </w:rPr>
      </w:pPr>
      <w:bookmarkStart w:id="31" w:name="_Toc152672440"/>
      <w:r w:rsidRPr="00210405">
        <w:rPr>
          <w:rFonts w:asciiTheme="minorHAnsi" w:hAnsiTheme="minorHAnsi" w:cstheme="minorHAnsi"/>
        </w:rPr>
        <w:lastRenderedPageBreak/>
        <w:t>Badania w czasie odbioru robót</w:t>
      </w:r>
      <w:bookmarkEnd w:id="31"/>
    </w:p>
    <w:p w14:paraId="0C8F1796" w14:textId="77777777" w:rsidR="001820A0" w:rsidRPr="00210405" w:rsidRDefault="001820A0" w:rsidP="007A21E4">
      <w:pPr>
        <w:pStyle w:val="Nagwek21"/>
        <w:numPr>
          <w:ilvl w:val="2"/>
          <w:numId w:val="5"/>
        </w:numPr>
        <w:tabs>
          <w:tab w:val="left" w:pos="605"/>
        </w:tabs>
        <w:spacing w:before="122"/>
        <w:jc w:val="both"/>
        <w:rPr>
          <w:rFonts w:asciiTheme="minorHAnsi" w:hAnsiTheme="minorHAnsi" w:cstheme="minorHAnsi"/>
        </w:rPr>
      </w:pPr>
      <w:bookmarkStart w:id="32" w:name="_Toc152672441"/>
      <w:r w:rsidRPr="00210405">
        <w:rPr>
          <w:rFonts w:asciiTheme="minorHAnsi" w:hAnsiTheme="minorHAnsi" w:cstheme="minorHAnsi"/>
        </w:rPr>
        <w:t>Zakres i warunki wykonywania badań</w:t>
      </w:r>
      <w:bookmarkEnd w:id="32"/>
    </w:p>
    <w:p w14:paraId="68888811" w14:textId="77777777" w:rsidR="001820A0" w:rsidRPr="00210405" w:rsidRDefault="001820A0" w:rsidP="001820A0">
      <w:pPr>
        <w:pStyle w:val="Tekstpodstawowy"/>
        <w:spacing w:before="2" w:line="242" w:lineRule="auto"/>
        <w:ind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Badania w czasie odbioru robót przeprowadza się celem oceny czy spełnione zostały wszystkie wymagania dotyczące wykonanych robót tynkowych, w szczególności w zakresie:</w:t>
      </w:r>
    </w:p>
    <w:p w14:paraId="68ADE602" w14:textId="40C57DB5" w:rsidR="00AC32E6" w:rsidRPr="003E1EB2" w:rsidRDefault="001820A0" w:rsidP="003E1EB2">
      <w:pPr>
        <w:pStyle w:val="Akapitzlist"/>
        <w:numPr>
          <w:ilvl w:val="3"/>
          <w:numId w:val="5"/>
        </w:numPr>
        <w:tabs>
          <w:tab w:val="left" w:pos="821"/>
        </w:tabs>
        <w:spacing w:before="0" w:line="244" w:lineRule="auto"/>
        <w:ind w:right="109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zgodności z dokumentacją projektową i specyfikacją techniczną (szczegółową) wraz z wprowadzonymi zmianami naniesionymi w dokumentacji powykonawczej,</w:t>
      </w:r>
    </w:p>
    <w:p w14:paraId="725DD0BC" w14:textId="77777777" w:rsidR="001820A0" w:rsidRPr="00210405" w:rsidRDefault="001820A0" w:rsidP="007A21E4">
      <w:pPr>
        <w:pStyle w:val="Akapitzlist"/>
        <w:numPr>
          <w:ilvl w:val="3"/>
          <w:numId w:val="5"/>
        </w:numPr>
        <w:tabs>
          <w:tab w:val="left" w:pos="821"/>
        </w:tabs>
        <w:spacing w:before="0" w:line="239" w:lineRule="exact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jakości zastosowanych materiałów i wyrobów,</w:t>
      </w:r>
    </w:p>
    <w:p w14:paraId="141DBFB9" w14:textId="77777777" w:rsidR="001820A0" w:rsidRPr="00210405" w:rsidRDefault="001820A0" w:rsidP="007A21E4">
      <w:pPr>
        <w:pStyle w:val="Akapitzlist"/>
        <w:numPr>
          <w:ilvl w:val="3"/>
          <w:numId w:val="5"/>
        </w:numPr>
        <w:tabs>
          <w:tab w:val="left" w:pos="821"/>
        </w:tabs>
        <w:spacing w:before="0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prawidłowości przygotowania podłoża,</w:t>
      </w:r>
    </w:p>
    <w:p w14:paraId="5450E6C3" w14:textId="77777777" w:rsidR="001820A0" w:rsidRPr="00210405" w:rsidRDefault="001820A0" w:rsidP="007A21E4">
      <w:pPr>
        <w:pStyle w:val="Akapitzlist"/>
        <w:numPr>
          <w:ilvl w:val="3"/>
          <w:numId w:val="5"/>
        </w:numPr>
        <w:tabs>
          <w:tab w:val="left" w:pos="821"/>
        </w:tabs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prawidłowości wykonania tynków zwykłych.</w:t>
      </w:r>
    </w:p>
    <w:p w14:paraId="3EB1966A" w14:textId="77777777" w:rsidR="001820A0" w:rsidRPr="00210405" w:rsidRDefault="001820A0" w:rsidP="001820A0">
      <w:pPr>
        <w:pStyle w:val="Tekstpodstawowy"/>
        <w:spacing w:before="2" w:line="242" w:lineRule="auto"/>
        <w:ind w:right="106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Przy badaniach w czasie odbioru robót należy wykorzystywać wyniki badań dokonanych przed przystąpieniem do robót i w trakcie ich wykonywania oraz zapisy w dzienniku budowy dotyczące wykonanych robót.</w:t>
      </w:r>
    </w:p>
    <w:p w14:paraId="3DE4369A" w14:textId="77777777" w:rsidR="001820A0" w:rsidRPr="00210405" w:rsidRDefault="001820A0" w:rsidP="001820A0">
      <w:pPr>
        <w:pStyle w:val="Tekstpodstawowy"/>
        <w:ind w:right="114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Do badań odbiorowych należy przystąpić nie później niż przed upływem 1 roku od daty ukończenia robót tynkowych.</w:t>
      </w:r>
    </w:p>
    <w:p w14:paraId="770F8078" w14:textId="77777777" w:rsidR="001820A0" w:rsidRPr="00210405" w:rsidRDefault="001820A0" w:rsidP="001820A0">
      <w:pPr>
        <w:pStyle w:val="Tekstpodstawowy"/>
        <w:spacing w:before="4"/>
        <w:ind w:right="100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Badania w czasie odbioru tynków zwykłych wewnętrznych i zewnętrznych przeprowadzać należy podczas bezdeszczowej pogody, w temperaturze powietrza nie niższej niż +5°C.</w:t>
      </w:r>
    </w:p>
    <w:p w14:paraId="28C06339" w14:textId="77777777" w:rsidR="001820A0" w:rsidRPr="00210405" w:rsidRDefault="001820A0" w:rsidP="001820A0">
      <w:pPr>
        <w:pStyle w:val="Tekstpodstawowy"/>
        <w:spacing w:before="3"/>
        <w:ind w:left="386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Przed przystąpieniem do badań przy odbiorze należy sprawdzić na podstawie dokumentów:</w:t>
      </w:r>
    </w:p>
    <w:p w14:paraId="77AB3D46" w14:textId="77777777" w:rsidR="001820A0" w:rsidRPr="00210405" w:rsidRDefault="001820A0" w:rsidP="007A21E4">
      <w:pPr>
        <w:pStyle w:val="Akapitzlist"/>
        <w:numPr>
          <w:ilvl w:val="0"/>
          <w:numId w:val="4"/>
        </w:numPr>
        <w:tabs>
          <w:tab w:val="left" w:pos="821"/>
        </w:tabs>
        <w:spacing w:before="4" w:line="242" w:lineRule="auto"/>
        <w:ind w:right="102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czy załączone wyniki badań dokonanych przed przystąpieniem do robót potwierdzają, że przygotowane podłoża nadawały się do położenia tynku a użyte materiały spełniały wymagania pkt. 2 niniejszej ST,</w:t>
      </w:r>
    </w:p>
    <w:p w14:paraId="7F5A8FC6" w14:textId="77777777" w:rsidR="001820A0" w:rsidRPr="00210405" w:rsidRDefault="001820A0" w:rsidP="007A21E4">
      <w:pPr>
        <w:pStyle w:val="Akapitzlist"/>
        <w:numPr>
          <w:ilvl w:val="0"/>
          <w:numId w:val="4"/>
        </w:numPr>
        <w:tabs>
          <w:tab w:val="left" w:pos="821"/>
        </w:tabs>
        <w:spacing w:before="0"/>
        <w:ind w:right="112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czy w okresie wykonywania tynku zwykłego temperatura otoczenia w ciągu doby nie spadła poniżej 0°C.</w:t>
      </w:r>
    </w:p>
    <w:p w14:paraId="504AAE1E" w14:textId="77777777" w:rsidR="001820A0" w:rsidRPr="00210405" w:rsidRDefault="001820A0" w:rsidP="007A21E4">
      <w:pPr>
        <w:pStyle w:val="Nagwek21"/>
        <w:numPr>
          <w:ilvl w:val="2"/>
          <w:numId w:val="5"/>
        </w:numPr>
        <w:tabs>
          <w:tab w:val="left" w:pos="605"/>
        </w:tabs>
        <w:spacing w:before="122"/>
        <w:jc w:val="both"/>
        <w:rPr>
          <w:rFonts w:asciiTheme="minorHAnsi" w:hAnsiTheme="minorHAnsi" w:cstheme="minorHAnsi"/>
        </w:rPr>
      </w:pPr>
      <w:bookmarkStart w:id="33" w:name="_Toc152672442"/>
      <w:r w:rsidRPr="00210405">
        <w:rPr>
          <w:rFonts w:asciiTheme="minorHAnsi" w:hAnsiTheme="minorHAnsi" w:cstheme="minorHAnsi"/>
        </w:rPr>
        <w:t>Opis badań</w:t>
      </w:r>
      <w:bookmarkEnd w:id="33"/>
    </w:p>
    <w:p w14:paraId="034B3294" w14:textId="6FB79315" w:rsidR="001820A0" w:rsidRPr="003E1EB2" w:rsidRDefault="001820A0" w:rsidP="003E1EB2">
      <w:pPr>
        <w:pStyle w:val="Akapitzlist"/>
        <w:numPr>
          <w:ilvl w:val="0"/>
          <w:numId w:val="3"/>
        </w:numPr>
        <w:tabs>
          <w:tab w:val="left" w:pos="821"/>
        </w:tabs>
        <w:spacing w:before="4"/>
        <w:ind w:right="11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 xml:space="preserve">Sprawdzenie przyczepności tynku do podłoża należy przeprowadzać metodą podaną w PN-85/B-04500. Jako badania orientacyjne dopuszcza się stosowanie opukiwania tynku lekkim drewnianym młotkiem (brak głuchego </w:t>
      </w:r>
      <w:r w:rsidRPr="00210405">
        <w:rPr>
          <w:rFonts w:asciiTheme="minorHAnsi" w:hAnsiTheme="minorHAnsi" w:cstheme="minorHAnsi"/>
          <w:sz w:val="20"/>
          <w:szCs w:val="20"/>
        </w:rPr>
        <w:t xml:space="preserve">odgłosu świadczy o dobrej przyczepności). Przyczepność </w:t>
      </w:r>
      <w:proofErr w:type="spellStart"/>
      <w:r w:rsidRPr="00210405">
        <w:rPr>
          <w:rFonts w:asciiTheme="minorHAnsi" w:hAnsiTheme="minorHAnsi" w:cstheme="minorHAnsi"/>
          <w:sz w:val="20"/>
          <w:szCs w:val="20"/>
        </w:rPr>
        <w:t>międzywarstwową</w:t>
      </w:r>
      <w:proofErr w:type="spellEnd"/>
      <w:r w:rsidRPr="00210405">
        <w:rPr>
          <w:rFonts w:asciiTheme="minorHAnsi" w:hAnsiTheme="minorHAnsi" w:cstheme="minorHAnsi"/>
          <w:sz w:val="20"/>
          <w:szCs w:val="20"/>
        </w:rPr>
        <w:t xml:space="preserve"> tynków wielowarstwowych należy sprawdzić za pomocą przyrządu zwanego młotkiem </w:t>
      </w:r>
      <w:proofErr w:type="spellStart"/>
      <w:r w:rsidRPr="00210405">
        <w:rPr>
          <w:rFonts w:asciiTheme="minorHAnsi" w:hAnsiTheme="minorHAnsi" w:cstheme="minorHAnsi"/>
          <w:sz w:val="20"/>
          <w:szCs w:val="20"/>
        </w:rPr>
        <w:t>Baronnie’go</w:t>
      </w:r>
      <w:proofErr w:type="spellEnd"/>
      <w:r w:rsidRPr="00210405">
        <w:rPr>
          <w:rFonts w:asciiTheme="minorHAnsi" w:hAnsiTheme="minorHAnsi" w:cstheme="minorHAnsi"/>
          <w:sz w:val="20"/>
          <w:szCs w:val="20"/>
        </w:rPr>
        <w:t xml:space="preserve"> metodą </w:t>
      </w:r>
      <w:proofErr w:type="spellStart"/>
      <w:r w:rsidRPr="00210405">
        <w:rPr>
          <w:rFonts w:asciiTheme="minorHAnsi" w:hAnsiTheme="minorHAnsi" w:cstheme="minorHAnsi"/>
          <w:sz w:val="20"/>
          <w:szCs w:val="20"/>
        </w:rPr>
        <w:t>kwadracikowania</w:t>
      </w:r>
      <w:proofErr w:type="spellEnd"/>
      <w:r w:rsidRPr="00210405">
        <w:rPr>
          <w:rFonts w:asciiTheme="minorHAnsi" w:hAnsiTheme="minorHAnsi" w:cstheme="minorHAnsi"/>
          <w:sz w:val="20"/>
          <w:szCs w:val="20"/>
        </w:rPr>
        <w:t>, tj. próba krzyżowego nacinania wyprawy i poddania jej uderzeniom stempla o ciężarze 250 gramów przy badaniu po 7 dniach od wykonania tynków, a co najmniej 500 gramów – po</w:t>
      </w:r>
      <w:r w:rsidR="003E1EB2">
        <w:rPr>
          <w:rFonts w:asciiTheme="minorHAnsi" w:hAnsiTheme="minorHAnsi" w:cstheme="minorHAnsi"/>
          <w:sz w:val="20"/>
          <w:szCs w:val="20"/>
        </w:rPr>
        <w:t xml:space="preserve"> </w:t>
      </w:r>
      <w:r w:rsidRPr="003E1EB2">
        <w:rPr>
          <w:rFonts w:asciiTheme="minorHAnsi" w:hAnsiTheme="minorHAnsi" w:cstheme="minorHAnsi"/>
        </w:rPr>
        <w:t>28 dniach. Brak wypadania kwadracików pod uderzeniem świadczy o dostatecznej przyczepności.</w:t>
      </w:r>
    </w:p>
    <w:p w14:paraId="76DFF9B5" w14:textId="77777777" w:rsidR="001820A0" w:rsidRPr="00210405" w:rsidRDefault="001820A0" w:rsidP="007A21E4">
      <w:pPr>
        <w:pStyle w:val="Akapitzlist"/>
        <w:numPr>
          <w:ilvl w:val="0"/>
          <w:numId w:val="3"/>
        </w:numPr>
        <w:tabs>
          <w:tab w:val="left" w:pos="881"/>
        </w:tabs>
        <w:spacing w:before="4"/>
        <w:ind w:left="880" w:right="113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 xml:space="preserve">Sprawdzenie odporności tynków na uszkodzenia mechaniczne należy przeprowadzać młotkiem </w:t>
      </w:r>
      <w:proofErr w:type="spellStart"/>
      <w:r w:rsidRPr="00210405">
        <w:rPr>
          <w:rFonts w:asciiTheme="minorHAnsi" w:hAnsiTheme="minorHAnsi" w:cstheme="minorHAnsi"/>
          <w:sz w:val="20"/>
        </w:rPr>
        <w:t>Baronnie’go</w:t>
      </w:r>
      <w:proofErr w:type="spellEnd"/>
      <w:r w:rsidRPr="00210405">
        <w:rPr>
          <w:rFonts w:asciiTheme="minorHAnsi" w:hAnsiTheme="minorHAnsi" w:cstheme="minorHAnsi"/>
          <w:sz w:val="20"/>
        </w:rPr>
        <w:t xml:space="preserve"> metodą </w:t>
      </w:r>
      <w:proofErr w:type="spellStart"/>
      <w:r w:rsidRPr="00210405">
        <w:rPr>
          <w:rFonts w:asciiTheme="minorHAnsi" w:hAnsiTheme="minorHAnsi" w:cstheme="minorHAnsi"/>
          <w:sz w:val="20"/>
        </w:rPr>
        <w:t>kwadracikowania</w:t>
      </w:r>
      <w:proofErr w:type="spellEnd"/>
      <w:r w:rsidRPr="00210405">
        <w:rPr>
          <w:rFonts w:asciiTheme="minorHAnsi" w:hAnsiTheme="minorHAnsi" w:cstheme="minorHAnsi"/>
          <w:sz w:val="20"/>
        </w:rPr>
        <w:t xml:space="preserve"> jak w pkt. 6.4.2.1. niniejszej ST.</w:t>
      </w:r>
    </w:p>
    <w:p w14:paraId="097B7977" w14:textId="77777777" w:rsidR="001820A0" w:rsidRPr="00210405" w:rsidRDefault="001820A0" w:rsidP="007A21E4">
      <w:pPr>
        <w:pStyle w:val="Akapitzlist"/>
        <w:numPr>
          <w:ilvl w:val="0"/>
          <w:numId w:val="3"/>
        </w:numPr>
        <w:tabs>
          <w:tab w:val="left" w:pos="881"/>
        </w:tabs>
        <w:spacing w:before="4"/>
        <w:ind w:left="880" w:right="107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Sprawdzenie mrozoodporności tynków zewnętrznych należy przeprowadzać na podstawie świadectwa badania wg PN-85/B-04500 odporności na działanie mrozu próbek stwardniałej zaprawy.</w:t>
      </w:r>
    </w:p>
    <w:p w14:paraId="60EF7337" w14:textId="77777777" w:rsidR="001820A0" w:rsidRPr="00210405" w:rsidRDefault="001820A0" w:rsidP="007A21E4">
      <w:pPr>
        <w:pStyle w:val="Akapitzlist"/>
        <w:numPr>
          <w:ilvl w:val="0"/>
          <w:numId w:val="3"/>
        </w:numPr>
        <w:tabs>
          <w:tab w:val="left" w:pos="821"/>
        </w:tabs>
        <w:spacing w:before="3" w:line="242" w:lineRule="auto"/>
        <w:ind w:left="880" w:right="10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Sprawdzenie grubości tynków. W pięciu dowolnie wybranych miejscach powierzchni otynkowanej wynoszącej nie więcej niż 5000 m</w:t>
      </w:r>
      <w:r w:rsidRPr="00210405">
        <w:rPr>
          <w:rFonts w:asciiTheme="minorHAnsi" w:hAnsiTheme="minorHAnsi" w:cstheme="minorHAnsi"/>
          <w:position w:val="5"/>
          <w:sz w:val="13"/>
        </w:rPr>
        <w:t xml:space="preserve">2 </w:t>
      </w:r>
      <w:r w:rsidRPr="00210405">
        <w:rPr>
          <w:rFonts w:asciiTheme="minorHAnsi" w:hAnsiTheme="minorHAnsi" w:cstheme="minorHAnsi"/>
          <w:sz w:val="20"/>
        </w:rPr>
        <w:t xml:space="preserve">należy wyciąć próbki kontrolne o wymiarach 2x2 cm lub o średnicy około 3 cm w taki sposób, aby podłoże zostało odsłonięte lecz nie naruszone. Odsłonięte podłoże należy oczyścić z ewentualnych pozostałości zaprawy. Pomiar grubości tynku powinien być wykonany przymiarem z </w:t>
      </w:r>
      <w:r w:rsidRPr="00210405">
        <w:rPr>
          <w:rFonts w:asciiTheme="minorHAnsi" w:hAnsiTheme="minorHAnsi" w:cstheme="minorHAnsi"/>
        </w:rPr>
        <w:t>dokładnością do 1 mm. Za przeciętną grubość tynku badanej powierzchni otynkowanej należy przyjmować wartość średnią pomiaru w pięciu otworach.</w:t>
      </w:r>
    </w:p>
    <w:p w14:paraId="5D23EC88" w14:textId="77777777" w:rsidR="001820A0" w:rsidRPr="00210405" w:rsidRDefault="001820A0" w:rsidP="001820A0">
      <w:pPr>
        <w:pStyle w:val="Tekstpodstawowy"/>
        <w:ind w:left="820" w:right="104" w:firstLine="55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 przypadku badania tynku o powierzchni większej niż 5000 m</w:t>
      </w:r>
      <w:r w:rsidRPr="00210405">
        <w:rPr>
          <w:rFonts w:asciiTheme="minorHAnsi" w:hAnsiTheme="minorHAnsi" w:cstheme="minorHAnsi"/>
          <w:position w:val="5"/>
          <w:sz w:val="13"/>
        </w:rPr>
        <w:t xml:space="preserve">2 </w:t>
      </w:r>
      <w:r w:rsidRPr="00210405">
        <w:rPr>
          <w:rFonts w:asciiTheme="minorHAnsi" w:hAnsiTheme="minorHAnsi" w:cstheme="minorHAnsi"/>
        </w:rPr>
        <w:t>należy na każde rozpoczęte 1000 m</w:t>
      </w:r>
      <w:r w:rsidRPr="00210405">
        <w:rPr>
          <w:rFonts w:asciiTheme="minorHAnsi" w:hAnsiTheme="minorHAnsi" w:cstheme="minorHAnsi"/>
          <w:position w:val="5"/>
          <w:sz w:val="13"/>
        </w:rPr>
        <w:t xml:space="preserve">2 </w:t>
      </w:r>
      <w:r w:rsidRPr="00210405">
        <w:rPr>
          <w:rFonts w:asciiTheme="minorHAnsi" w:hAnsiTheme="minorHAnsi" w:cstheme="minorHAnsi"/>
        </w:rPr>
        <w:t>wyciąć jeden dodatkowy otwór.</w:t>
      </w:r>
    </w:p>
    <w:p w14:paraId="4635F84B" w14:textId="77777777" w:rsidR="001820A0" w:rsidRPr="00210405" w:rsidRDefault="001820A0" w:rsidP="007A21E4">
      <w:pPr>
        <w:pStyle w:val="Akapitzlist"/>
        <w:numPr>
          <w:ilvl w:val="0"/>
          <w:numId w:val="3"/>
        </w:numPr>
        <w:tabs>
          <w:tab w:val="left" w:pos="821"/>
        </w:tabs>
        <w:spacing w:line="242" w:lineRule="auto"/>
        <w:ind w:right="11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Sprawdzenie wyglądu i innych właściwości powierzchni otynkowanych. Wygląd powierzchni otynkowanych (barwa, obecność wykwitów, spękań itp.) należy sprawdzić za pomocą oględzin zewnętrznych. Gładkość powierzchni oraz brak pylenia należy sprawdzać przez potarcie tynku dłonią.</w:t>
      </w:r>
    </w:p>
    <w:p w14:paraId="1F833BC0" w14:textId="77777777" w:rsidR="001820A0" w:rsidRPr="00210405" w:rsidRDefault="001820A0" w:rsidP="001820A0">
      <w:pPr>
        <w:pStyle w:val="Tekstpodstawowy"/>
        <w:spacing w:line="242" w:lineRule="auto"/>
        <w:ind w:left="820" w:right="103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Odporność powierzchni otynkowanych na działanie opadów atmosferycznych lub rozmywanie podczas renowacyjnych robót malarskich należy sprawdzać w sposób następujący:</w:t>
      </w:r>
    </w:p>
    <w:p w14:paraId="0897FAD0" w14:textId="77777777" w:rsidR="001820A0" w:rsidRPr="00210405" w:rsidRDefault="001820A0" w:rsidP="001820A0">
      <w:pPr>
        <w:pStyle w:val="Tekstpodstawowy"/>
        <w:spacing w:line="242" w:lineRule="auto"/>
        <w:ind w:left="820" w:right="100" w:hanging="36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 xml:space="preserve">     – powierzchnię tynku należy zwilżyć wodą za pomocą pędzla ławkowca i natychmiast przeprowadzić próbę odporności na uderzenia metodą </w:t>
      </w:r>
      <w:proofErr w:type="spellStart"/>
      <w:r w:rsidRPr="00210405">
        <w:rPr>
          <w:rFonts w:asciiTheme="minorHAnsi" w:hAnsiTheme="minorHAnsi" w:cstheme="minorHAnsi"/>
        </w:rPr>
        <w:t>kwadracikowania</w:t>
      </w:r>
      <w:proofErr w:type="spellEnd"/>
      <w:r w:rsidRPr="00210405">
        <w:rPr>
          <w:rFonts w:asciiTheme="minorHAnsi" w:hAnsiTheme="minorHAnsi" w:cstheme="minorHAnsi"/>
        </w:rPr>
        <w:t>, stosując uderzenie stempla o ciężarze 250 gramów; próba ta powinna dać wynik dodatni (brak wypadania kwadracików).</w:t>
      </w:r>
    </w:p>
    <w:p w14:paraId="497DAAAB" w14:textId="77777777" w:rsidR="001820A0" w:rsidRPr="00210405" w:rsidRDefault="001820A0" w:rsidP="007A21E4">
      <w:pPr>
        <w:pStyle w:val="Akapitzlist"/>
        <w:numPr>
          <w:ilvl w:val="0"/>
          <w:numId w:val="3"/>
        </w:numPr>
        <w:tabs>
          <w:tab w:val="left" w:pos="821"/>
        </w:tabs>
        <w:spacing w:before="0"/>
        <w:ind w:right="11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Sprawdzenie prawidłowości wykonania powierzchni i krawędzi tynków należy przeprowadzić wg PN-70/B-10100.</w:t>
      </w:r>
    </w:p>
    <w:p w14:paraId="7509494B" w14:textId="77777777" w:rsidR="001820A0" w:rsidRPr="00210405" w:rsidRDefault="001820A0" w:rsidP="007A21E4">
      <w:pPr>
        <w:pStyle w:val="Akapitzlist"/>
        <w:numPr>
          <w:ilvl w:val="0"/>
          <w:numId w:val="3"/>
        </w:numPr>
        <w:tabs>
          <w:tab w:val="left" w:pos="821"/>
        </w:tabs>
        <w:spacing w:before="0"/>
        <w:ind w:right="107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Sprawdzenie wykończenia tynków na narożach i obrzeżach, stykach i przy szczelinach dylatacyjnych należy przeprowadzić wzrokowo oraz przez pomiar równocześnie z badaniem wyglądu powierzchni otynkowanych wg pkt. 6.4.2.5. niniejszej ST.</w:t>
      </w:r>
    </w:p>
    <w:p w14:paraId="004DC706" w14:textId="77777777" w:rsidR="00AC32E6" w:rsidRPr="00210405" w:rsidRDefault="00AC32E6" w:rsidP="00AC32E6">
      <w:pPr>
        <w:pStyle w:val="Akapitzlist"/>
        <w:tabs>
          <w:tab w:val="left" w:pos="821"/>
        </w:tabs>
        <w:spacing w:before="0"/>
        <w:ind w:left="820" w:right="107" w:firstLine="0"/>
        <w:jc w:val="both"/>
        <w:rPr>
          <w:rFonts w:asciiTheme="minorHAnsi" w:hAnsiTheme="minorHAnsi" w:cstheme="minorHAnsi"/>
          <w:sz w:val="20"/>
        </w:rPr>
      </w:pPr>
    </w:p>
    <w:p w14:paraId="42D8DF8F" w14:textId="77777777" w:rsidR="001820A0" w:rsidRPr="00210405" w:rsidRDefault="001820A0" w:rsidP="007A21E4">
      <w:pPr>
        <w:pStyle w:val="Nagwek11"/>
        <w:numPr>
          <w:ilvl w:val="0"/>
          <w:numId w:val="15"/>
        </w:numPr>
        <w:tabs>
          <w:tab w:val="left" w:pos="286"/>
        </w:tabs>
        <w:spacing w:before="122"/>
        <w:ind w:right="0"/>
        <w:jc w:val="both"/>
        <w:rPr>
          <w:rFonts w:asciiTheme="minorHAnsi" w:hAnsiTheme="minorHAnsi" w:cstheme="minorHAnsi"/>
        </w:rPr>
      </w:pPr>
      <w:bookmarkStart w:id="34" w:name="_Toc152672443"/>
      <w:r w:rsidRPr="00210405">
        <w:rPr>
          <w:rFonts w:asciiTheme="minorHAnsi" w:hAnsiTheme="minorHAnsi" w:cstheme="minorHAnsi"/>
        </w:rPr>
        <w:t>OBMIAR ROBÓT</w:t>
      </w:r>
      <w:bookmarkEnd w:id="34"/>
    </w:p>
    <w:p w14:paraId="15055B80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2"/>
        <w:jc w:val="both"/>
        <w:rPr>
          <w:rFonts w:asciiTheme="minorHAnsi" w:hAnsiTheme="minorHAnsi" w:cstheme="minorHAnsi"/>
        </w:rPr>
      </w:pPr>
      <w:bookmarkStart w:id="35" w:name="_Toc152672444"/>
      <w:r w:rsidRPr="00210405">
        <w:rPr>
          <w:rFonts w:asciiTheme="minorHAnsi" w:hAnsiTheme="minorHAnsi" w:cstheme="minorHAnsi"/>
        </w:rPr>
        <w:t>Ogólne zasady przedmiaru i obmiaru</w:t>
      </w:r>
      <w:bookmarkEnd w:id="35"/>
    </w:p>
    <w:p w14:paraId="0F678C44" w14:textId="70927B25" w:rsidR="00AC32E6" w:rsidRPr="00210405" w:rsidRDefault="001820A0" w:rsidP="003E1EB2">
      <w:pPr>
        <w:pStyle w:val="Tekstpodstawowy"/>
        <w:spacing w:before="4"/>
        <w:ind w:left="8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Ogólne zasady przedmiaru i obmiaru podano w ST „Wymagania ogólne” pkt 7</w:t>
      </w:r>
      <w:bookmarkStart w:id="36" w:name="_Toc152672445"/>
    </w:p>
    <w:p w14:paraId="127CC9C6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2"/>
        <w:jc w:val="both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Szczegółowe zasady obmiaru robót tynkowych</w:t>
      </w:r>
      <w:bookmarkEnd w:id="36"/>
    </w:p>
    <w:p w14:paraId="585565D4" w14:textId="77777777" w:rsidR="001820A0" w:rsidRPr="00210405" w:rsidRDefault="001820A0" w:rsidP="001820A0">
      <w:pPr>
        <w:pStyle w:val="Tekstpodstawowy"/>
        <w:spacing w:before="2"/>
        <w:ind w:right="109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Powierzchnię tynków wewnętrznych ścian oblicza się w metrach kwadratowych jako iloczyn długości ścian w stanie surowym i wysokości mierzonej od podłoża lub warstwy wyrównawczej na stropie do spodu stropu nad pomieszczeniem.</w:t>
      </w:r>
    </w:p>
    <w:p w14:paraId="5F3058FF" w14:textId="77777777" w:rsidR="001820A0" w:rsidRPr="00210405" w:rsidRDefault="001820A0" w:rsidP="001820A0">
      <w:pPr>
        <w:pStyle w:val="Tekstpodstawowy"/>
        <w:spacing w:before="5" w:line="244" w:lineRule="auto"/>
        <w:ind w:right="11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Powierzchnię tynków stropów płaskich oblicza się w metrach kwadratowych ich rzutu w świetle ścian surowych na płaszczyznę poziomą.</w:t>
      </w:r>
    </w:p>
    <w:p w14:paraId="5CD30674" w14:textId="77777777" w:rsidR="001820A0" w:rsidRPr="00210405" w:rsidRDefault="001820A0" w:rsidP="001820A0">
      <w:pPr>
        <w:pStyle w:val="Tekstpodstawowy"/>
        <w:spacing w:line="242" w:lineRule="auto"/>
        <w:ind w:right="113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Powierzchnię stropów żebrowych i kasetonowych oblicza się w rozwinięciu według wymiarów w stanie surowym.</w:t>
      </w:r>
    </w:p>
    <w:p w14:paraId="26AB657C" w14:textId="77777777" w:rsidR="001820A0" w:rsidRPr="00210405" w:rsidRDefault="001820A0" w:rsidP="001820A0">
      <w:pPr>
        <w:pStyle w:val="Tekstpodstawowy"/>
        <w:spacing w:line="242" w:lineRule="auto"/>
        <w:ind w:right="109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Powierzchnię tynków zewnętrznych ścian oblicza się jako iloczyn długości ścian w rozwinięciu w stanie surowym i wysokości mierzonej od wierzchu cokołu lub terenu do górnej krawędzi ściany, dolnej krawędzi gzymsu lub górnej krawędzi tynku, jeżeli ściana jest tynkowana tylko do pewnej wysokości.</w:t>
      </w:r>
    </w:p>
    <w:p w14:paraId="18611B9E" w14:textId="77777777" w:rsidR="001820A0" w:rsidRPr="00210405" w:rsidRDefault="001820A0" w:rsidP="001820A0">
      <w:pPr>
        <w:pStyle w:val="Tekstpodstawowy"/>
        <w:ind w:right="114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Powierzchnię pilastrów, słupów i innych elementów oblicza się w rozwinięciu tych elementów w stanie surowym.</w:t>
      </w:r>
    </w:p>
    <w:p w14:paraId="606D4082" w14:textId="77777777" w:rsidR="001820A0" w:rsidRPr="00210405" w:rsidRDefault="001820A0" w:rsidP="001820A0">
      <w:pPr>
        <w:pStyle w:val="Tekstpodstawowy"/>
        <w:spacing w:line="242" w:lineRule="auto"/>
        <w:ind w:right="103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Z powierzchni tynków nie potrąca się powierzchni nieotynkowanych, ciągnionych, okładzin, obróbek kamiennych, kratek, drzwiczek i innych, jeżeli każda z nich jest mniejsza od 0,5 m</w:t>
      </w:r>
      <w:r w:rsidRPr="00210405">
        <w:rPr>
          <w:rFonts w:asciiTheme="minorHAnsi" w:hAnsiTheme="minorHAnsi" w:cstheme="minorHAnsi"/>
          <w:position w:val="5"/>
          <w:sz w:val="13"/>
        </w:rPr>
        <w:t>2</w:t>
      </w:r>
      <w:r w:rsidRPr="00210405">
        <w:rPr>
          <w:rFonts w:asciiTheme="minorHAnsi" w:hAnsiTheme="minorHAnsi" w:cstheme="minorHAnsi"/>
        </w:rPr>
        <w:t>. Przy potrącaniu powierzchni otworów okiennych i drzwiowych, do powierzchni tynków ścian, należy doliczyć powierzchnię ościeży w stanie surowym.</w:t>
      </w:r>
    </w:p>
    <w:p w14:paraId="5A509956" w14:textId="77777777" w:rsidR="007A21E4" w:rsidRPr="00210405" w:rsidRDefault="007A21E4" w:rsidP="001820A0">
      <w:pPr>
        <w:pStyle w:val="Tekstpodstawowy"/>
        <w:spacing w:line="242" w:lineRule="auto"/>
        <w:ind w:right="103"/>
        <w:rPr>
          <w:rFonts w:asciiTheme="minorHAnsi" w:hAnsiTheme="minorHAnsi" w:cstheme="minorHAnsi"/>
        </w:rPr>
      </w:pPr>
    </w:p>
    <w:p w14:paraId="61175779" w14:textId="77777777" w:rsidR="001820A0" w:rsidRPr="00210405" w:rsidRDefault="001820A0" w:rsidP="007A21E4">
      <w:pPr>
        <w:pStyle w:val="Nagwek11"/>
        <w:numPr>
          <w:ilvl w:val="0"/>
          <w:numId w:val="15"/>
        </w:numPr>
        <w:tabs>
          <w:tab w:val="left" w:pos="286"/>
        </w:tabs>
        <w:spacing w:before="117"/>
        <w:ind w:right="0"/>
        <w:jc w:val="both"/>
        <w:rPr>
          <w:rFonts w:asciiTheme="minorHAnsi" w:hAnsiTheme="minorHAnsi" w:cstheme="minorHAnsi"/>
        </w:rPr>
      </w:pPr>
      <w:bookmarkStart w:id="37" w:name="_Toc152672446"/>
      <w:r w:rsidRPr="00210405">
        <w:rPr>
          <w:rFonts w:asciiTheme="minorHAnsi" w:hAnsiTheme="minorHAnsi" w:cstheme="minorHAnsi"/>
        </w:rPr>
        <w:t>ODBIÓR ROBÓT</w:t>
      </w:r>
      <w:bookmarkEnd w:id="37"/>
    </w:p>
    <w:p w14:paraId="5783B7FD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2"/>
        <w:jc w:val="both"/>
        <w:rPr>
          <w:rFonts w:asciiTheme="minorHAnsi" w:hAnsiTheme="minorHAnsi" w:cstheme="minorHAnsi"/>
        </w:rPr>
      </w:pPr>
      <w:bookmarkStart w:id="38" w:name="_Toc152672447"/>
      <w:r w:rsidRPr="00210405">
        <w:rPr>
          <w:rFonts w:asciiTheme="minorHAnsi" w:hAnsiTheme="minorHAnsi" w:cstheme="minorHAnsi"/>
        </w:rPr>
        <w:t>Ogólne zasady odbioru robót</w:t>
      </w:r>
      <w:bookmarkEnd w:id="38"/>
    </w:p>
    <w:p w14:paraId="7336487D" w14:textId="77777777" w:rsidR="001820A0" w:rsidRPr="00210405" w:rsidRDefault="001820A0" w:rsidP="001820A0">
      <w:pPr>
        <w:pStyle w:val="Tekstpodstawowy"/>
        <w:spacing w:before="2"/>
        <w:ind w:left="8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Ogólne zasady odbioru robót podano w ST „Wymagania ogólne” pkt 8</w:t>
      </w:r>
    </w:p>
    <w:p w14:paraId="0487CC9D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5"/>
        <w:jc w:val="both"/>
        <w:rPr>
          <w:rFonts w:asciiTheme="minorHAnsi" w:hAnsiTheme="minorHAnsi" w:cstheme="minorHAnsi"/>
        </w:rPr>
      </w:pPr>
      <w:bookmarkStart w:id="39" w:name="_Toc152672448"/>
      <w:r w:rsidRPr="00210405">
        <w:rPr>
          <w:rFonts w:asciiTheme="minorHAnsi" w:hAnsiTheme="minorHAnsi" w:cstheme="minorHAnsi"/>
        </w:rPr>
        <w:t>Odbiór robót zanikających i ulegających zakryciu</w:t>
      </w:r>
      <w:bookmarkEnd w:id="39"/>
    </w:p>
    <w:p w14:paraId="68C15768" w14:textId="77777777" w:rsidR="001820A0" w:rsidRPr="00210405" w:rsidRDefault="001820A0" w:rsidP="001820A0">
      <w:pPr>
        <w:pStyle w:val="Tekstpodstawowy"/>
        <w:spacing w:before="2"/>
        <w:ind w:left="8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Przy robotach tynkowych elementami ulegającymi zakryciu są podłoża.</w:t>
      </w:r>
    </w:p>
    <w:p w14:paraId="5C432FB5" w14:textId="77777777" w:rsidR="001820A0" w:rsidRPr="00210405" w:rsidRDefault="001820A0" w:rsidP="001820A0">
      <w:pPr>
        <w:pStyle w:val="Tekstpodstawowy"/>
        <w:spacing w:before="1"/>
        <w:ind w:right="112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Odbiór podłoży musi być dokonany przed rozpoczęciem nakładania wyprawy (odbiór międzyoperacyjny).</w:t>
      </w:r>
    </w:p>
    <w:p w14:paraId="188A276C" w14:textId="77777777" w:rsidR="001820A0" w:rsidRPr="00210405" w:rsidRDefault="001820A0" w:rsidP="001820A0">
      <w:pPr>
        <w:pStyle w:val="Tekstpodstawowy"/>
        <w:spacing w:before="4" w:line="242" w:lineRule="auto"/>
        <w:ind w:right="112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 trakcie odbioru należy przeprowadzić badania wymienione w pkt. 6.2.2. niniejszej specyfikacji. Wyniki badań dla podłoży należy porównać z wymaganiami określonymi w dokumentacji projektowej i w pkt. 5.3. niniejszej specyfikacji.</w:t>
      </w:r>
      <w:r w:rsidR="00343BCF" w:rsidRPr="00210405">
        <w:rPr>
          <w:rFonts w:asciiTheme="minorHAnsi" w:hAnsiTheme="minorHAnsi" w:cstheme="minorHAnsi"/>
        </w:rPr>
        <w:t xml:space="preserve"> </w:t>
      </w:r>
      <w:r w:rsidRPr="00210405">
        <w:rPr>
          <w:rFonts w:asciiTheme="minorHAnsi" w:hAnsiTheme="minorHAnsi" w:cstheme="minorHAnsi"/>
        </w:rPr>
        <w:t>Jeżeli wszystkie pomiary i badania dały wynik pozytywny można uznać, że podłoża zostały prawidłowo przygotowane, tj. zgodnie z dokumentacją projektową oraz specyfikacją techniczną (szczegółową) i zezwolić na przystąpienie do nakładania wyprawy.</w:t>
      </w:r>
    </w:p>
    <w:p w14:paraId="07170699" w14:textId="77777777" w:rsidR="001820A0" w:rsidRPr="00210405" w:rsidRDefault="001820A0" w:rsidP="001820A0">
      <w:pPr>
        <w:pStyle w:val="Tekstpodstawowy"/>
        <w:spacing w:line="242" w:lineRule="auto"/>
        <w:ind w:right="109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Jeżeli chociaż jeden wynik badania jest negatywny przygotowanie podłoża nie powinno być odebrane. W takim przypadku należy ustalić zakres prac i rodzaje materiałów koniecznych do usunięcia nieprawidłowości. Po wykonaniu ustalonego zakresu prac należy ponownie przeprowadzić ocenę przygotowania podłoża.</w:t>
      </w:r>
    </w:p>
    <w:p w14:paraId="1964BD14" w14:textId="77777777" w:rsidR="001820A0" w:rsidRPr="00210405" w:rsidRDefault="001820A0" w:rsidP="001820A0">
      <w:pPr>
        <w:pStyle w:val="Tekstpodstawowy"/>
        <w:ind w:right="113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Wszystkie ustalenia związane z dokonanym odbiorem robót ulegających zakryciu należy zapisać w dzienniku budowy lub protokole podpisanym przez przedstawicieli inwestora (inspektor nadzoru) i wykonawcy (kierownik budowy).</w:t>
      </w:r>
    </w:p>
    <w:p w14:paraId="48B66329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3"/>
        <w:jc w:val="both"/>
        <w:rPr>
          <w:rFonts w:asciiTheme="minorHAnsi" w:hAnsiTheme="minorHAnsi" w:cstheme="minorHAnsi"/>
        </w:rPr>
      </w:pPr>
      <w:bookmarkStart w:id="40" w:name="_Toc152672449"/>
      <w:r w:rsidRPr="00210405">
        <w:rPr>
          <w:rFonts w:asciiTheme="minorHAnsi" w:hAnsiTheme="minorHAnsi" w:cstheme="minorHAnsi"/>
        </w:rPr>
        <w:t>Odbiór częściowy</w:t>
      </w:r>
      <w:bookmarkEnd w:id="40"/>
    </w:p>
    <w:p w14:paraId="1806ECE5" w14:textId="77777777" w:rsidR="001820A0" w:rsidRPr="00210405" w:rsidRDefault="001820A0" w:rsidP="001820A0">
      <w:pPr>
        <w:pStyle w:val="Tekstpodstawowy"/>
        <w:spacing w:before="1" w:line="242" w:lineRule="auto"/>
        <w:ind w:right="110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Odbiór częściowy polega na ocenie ilości i jakości wykonanej części robót. Odbioru częściowego robót dokonuje się dla zakresu określonego w dokumentach umownych, według zasad jak przy odbiorze ostatecznym robót.</w:t>
      </w:r>
    </w:p>
    <w:p w14:paraId="5CBACE3A" w14:textId="77777777" w:rsidR="001820A0" w:rsidRPr="00210405" w:rsidRDefault="001820A0" w:rsidP="001820A0">
      <w:pPr>
        <w:pStyle w:val="Tekstpodstawowy"/>
        <w:spacing w:before="1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Celem odbioru częściowego jest wczesne wykrycie ewentualnych usterek w realizowanych robotach i ich usunięcie przed odbiorem końcowym.</w:t>
      </w:r>
    </w:p>
    <w:p w14:paraId="05867A64" w14:textId="77777777" w:rsidR="001820A0" w:rsidRPr="00210405" w:rsidRDefault="001820A0" w:rsidP="001820A0">
      <w:pPr>
        <w:pStyle w:val="Tekstpodstawowy"/>
        <w:spacing w:before="4" w:line="244" w:lineRule="auto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Odbiór częściowy robót jest dokonywany przez inspektora nadzoru w obecności kierownika budowy.</w:t>
      </w:r>
    </w:p>
    <w:p w14:paraId="1311F059" w14:textId="77777777" w:rsidR="001820A0" w:rsidRPr="00210405" w:rsidRDefault="001820A0" w:rsidP="001820A0">
      <w:pPr>
        <w:spacing w:line="242" w:lineRule="auto"/>
        <w:ind w:left="10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Protokół odbioru częściowego jest podstawą do dokonania częściowego rozliczenia robót (jeżeli umowa taką formę przewiduje).</w:t>
      </w:r>
    </w:p>
    <w:p w14:paraId="323E4BA4" w14:textId="77777777" w:rsidR="001820A0" w:rsidRPr="00210405" w:rsidRDefault="001820A0" w:rsidP="00343BCF">
      <w:pPr>
        <w:pStyle w:val="Nagwek21"/>
        <w:numPr>
          <w:ilvl w:val="1"/>
          <w:numId w:val="15"/>
        </w:numPr>
        <w:tabs>
          <w:tab w:val="left" w:pos="437"/>
        </w:tabs>
        <w:spacing w:before="115" w:after="240"/>
        <w:jc w:val="both"/>
        <w:rPr>
          <w:rFonts w:asciiTheme="minorHAnsi" w:hAnsiTheme="minorHAnsi" w:cstheme="minorHAnsi"/>
        </w:rPr>
      </w:pPr>
      <w:bookmarkStart w:id="41" w:name="_Toc152672450"/>
      <w:r w:rsidRPr="00210405">
        <w:rPr>
          <w:rFonts w:asciiTheme="minorHAnsi" w:hAnsiTheme="minorHAnsi" w:cstheme="minorHAnsi"/>
        </w:rPr>
        <w:t>Odbiór ostateczny (końcowy)</w:t>
      </w:r>
      <w:bookmarkEnd w:id="41"/>
    </w:p>
    <w:p w14:paraId="1AE8AD18" w14:textId="77777777" w:rsidR="001820A0" w:rsidRPr="00210405" w:rsidRDefault="001820A0" w:rsidP="001820A0">
      <w:pPr>
        <w:pStyle w:val="Tekstpodstawowy"/>
        <w:spacing w:before="1"/>
        <w:ind w:right="109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Odbiór końcowy stanowi ostateczną ocenę rzeczywistego wykonania robót w odniesieniu do ich zakresu (ilości), jakości i zgodności z dokumentacją projektową.</w:t>
      </w:r>
    </w:p>
    <w:p w14:paraId="6B453560" w14:textId="77777777" w:rsidR="001820A0" w:rsidRPr="00210405" w:rsidRDefault="001820A0" w:rsidP="001820A0">
      <w:pPr>
        <w:pStyle w:val="Tekstpodstawowy"/>
        <w:spacing w:before="6"/>
        <w:ind w:right="615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Odbiór ostateczny przeprowadza komisja powołana przez zamawiającego, na podstawie przedłożonych dokumentów, wyników badań oraz dokonanej oceny wizualnej.</w:t>
      </w:r>
    </w:p>
    <w:p w14:paraId="591DA4E6" w14:textId="77777777" w:rsidR="001820A0" w:rsidRPr="00210405" w:rsidRDefault="001820A0" w:rsidP="001820A0">
      <w:pPr>
        <w:pStyle w:val="Tekstpodstawowy"/>
        <w:spacing w:before="4"/>
        <w:ind w:right="615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lastRenderedPageBreak/>
        <w:t>Zasady i terminy powoływania komisji oraz czas jej działania powinna określać umowa. Wykonawca robót obowiązany jest przedłożyć komisji następujące dokumenty:</w:t>
      </w:r>
    </w:p>
    <w:p w14:paraId="614C03AA" w14:textId="77777777" w:rsidR="001820A0" w:rsidRPr="00210405" w:rsidRDefault="001820A0" w:rsidP="007A21E4">
      <w:pPr>
        <w:pStyle w:val="Akapitzlist"/>
        <w:numPr>
          <w:ilvl w:val="2"/>
          <w:numId w:val="15"/>
        </w:numPr>
        <w:tabs>
          <w:tab w:val="left" w:pos="821"/>
        </w:tabs>
        <w:spacing w:before="3"/>
        <w:ind w:right="11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dokumentację projektową z naniesionymi zmianami dokonanymi w toku wykonywania robót,</w:t>
      </w:r>
    </w:p>
    <w:p w14:paraId="3C35711E" w14:textId="77777777" w:rsidR="001820A0" w:rsidRPr="00210405" w:rsidRDefault="001820A0" w:rsidP="007A21E4">
      <w:pPr>
        <w:pStyle w:val="Akapitzlist"/>
        <w:numPr>
          <w:ilvl w:val="2"/>
          <w:numId w:val="15"/>
        </w:numPr>
        <w:tabs>
          <w:tab w:val="left" w:pos="821"/>
          <w:tab w:val="left" w:pos="2319"/>
          <w:tab w:val="left" w:pos="3777"/>
          <w:tab w:val="left" w:pos="5093"/>
          <w:tab w:val="left" w:pos="5546"/>
          <w:tab w:val="left" w:pos="6719"/>
          <w:tab w:val="left" w:pos="8563"/>
          <w:tab w:val="left" w:pos="8970"/>
        </w:tabs>
        <w:spacing w:before="6"/>
        <w:ind w:right="109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szczegółowe</w:t>
      </w:r>
      <w:r w:rsidRPr="00210405">
        <w:rPr>
          <w:rFonts w:asciiTheme="minorHAnsi" w:hAnsiTheme="minorHAnsi" w:cstheme="minorHAnsi"/>
          <w:sz w:val="20"/>
        </w:rPr>
        <w:tab/>
        <w:t>specyfikacje</w:t>
      </w:r>
      <w:r w:rsidRPr="00210405">
        <w:rPr>
          <w:rFonts w:asciiTheme="minorHAnsi" w:hAnsiTheme="minorHAnsi" w:cstheme="minorHAnsi"/>
          <w:sz w:val="20"/>
        </w:rPr>
        <w:tab/>
        <w:t>techniczne</w:t>
      </w:r>
      <w:r w:rsidRPr="00210405">
        <w:rPr>
          <w:rFonts w:asciiTheme="minorHAnsi" w:hAnsiTheme="minorHAnsi" w:cstheme="minorHAnsi"/>
          <w:sz w:val="20"/>
        </w:rPr>
        <w:tab/>
        <w:t>ze</w:t>
      </w:r>
      <w:r w:rsidRPr="00210405">
        <w:rPr>
          <w:rFonts w:asciiTheme="minorHAnsi" w:hAnsiTheme="minorHAnsi" w:cstheme="minorHAnsi"/>
          <w:sz w:val="20"/>
        </w:rPr>
        <w:tab/>
        <w:t>zmianami</w:t>
      </w:r>
      <w:r w:rsidRPr="00210405">
        <w:rPr>
          <w:rFonts w:asciiTheme="minorHAnsi" w:hAnsiTheme="minorHAnsi" w:cstheme="minorHAnsi"/>
          <w:sz w:val="20"/>
        </w:rPr>
        <w:tab/>
        <w:t>wprowadzonymi</w:t>
      </w:r>
      <w:r w:rsidRPr="00210405">
        <w:rPr>
          <w:rFonts w:asciiTheme="minorHAnsi" w:hAnsiTheme="minorHAnsi" w:cstheme="minorHAnsi"/>
          <w:sz w:val="20"/>
        </w:rPr>
        <w:tab/>
        <w:t>w</w:t>
      </w:r>
      <w:r w:rsidRPr="00210405">
        <w:rPr>
          <w:rFonts w:asciiTheme="minorHAnsi" w:hAnsiTheme="minorHAnsi" w:cstheme="minorHAnsi"/>
          <w:sz w:val="20"/>
        </w:rPr>
        <w:tab/>
        <w:t>trakcie wykonywania robót,</w:t>
      </w:r>
    </w:p>
    <w:p w14:paraId="69415600" w14:textId="77777777" w:rsidR="001820A0" w:rsidRPr="00210405" w:rsidRDefault="001820A0" w:rsidP="007A21E4">
      <w:pPr>
        <w:pStyle w:val="Akapitzlist"/>
        <w:numPr>
          <w:ilvl w:val="2"/>
          <w:numId w:val="15"/>
        </w:numPr>
        <w:tabs>
          <w:tab w:val="left" w:pos="821"/>
        </w:tabs>
        <w:spacing w:before="4"/>
        <w:ind w:right="107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dziennik budowy i książki obmiarów z zapisami dokonywanymi w toku prowadzonych robót, protokoły kontroli spisywane w trakcie wykonywania prac,</w:t>
      </w:r>
    </w:p>
    <w:p w14:paraId="0A8D307E" w14:textId="77777777" w:rsidR="00AC32E6" w:rsidRPr="00210405" w:rsidRDefault="00AC32E6" w:rsidP="00AC32E6">
      <w:pPr>
        <w:pStyle w:val="Akapitzlist"/>
        <w:tabs>
          <w:tab w:val="left" w:pos="821"/>
        </w:tabs>
        <w:spacing w:before="3"/>
        <w:ind w:left="820" w:right="111" w:firstLine="0"/>
        <w:jc w:val="both"/>
        <w:rPr>
          <w:rFonts w:asciiTheme="minorHAnsi" w:hAnsiTheme="minorHAnsi" w:cstheme="minorHAnsi"/>
          <w:sz w:val="20"/>
        </w:rPr>
      </w:pPr>
    </w:p>
    <w:p w14:paraId="658A1A3A" w14:textId="77777777" w:rsidR="001820A0" w:rsidRPr="00210405" w:rsidRDefault="001820A0" w:rsidP="007A21E4">
      <w:pPr>
        <w:pStyle w:val="Akapitzlist"/>
        <w:numPr>
          <w:ilvl w:val="2"/>
          <w:numId w:val="15"/>
        </w:numPr>
        <w:tabs>
          <w:tab w:val="left" w:pos="821"/>
        </w:tabs>
        <w:spacing w:before="3"/>
        <w:ind w:right="11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dokumenty świadczące o dopuszczeniu do obrotu i powszechnego zastosowania użytych materiałów i wyrobów budowlanych,</w:t>
      </w:r>
    </w:p>
    <w:p w14:paraId="7E1D15B5" w14:textId="77777777" w:rsidR="001820A0" w:rsidRPr="00210405" w:rsidRDefault="001820A0" w:rsidP="007A21E4">
      <w:pPr>
        <w:pStyle w:val="Akapitzlist"/>
        <w:numPr>
          <w:ilvl w:val="2"/>
          <w:numId w:val="15"/>
        </w:numPr>
        <w:tabs>
          <w:tab w:val="left" w:pos="821"/>
        </w:tabs>
        <w:spacing w:before="6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protokoły odbiorów robót ulegających zakryciu i odbiorów częściowych,</w:t>
      </w:r>
    </w:p>
    <w:p w14:paraId="3CD6BD83" w14:textId="77777777" w:rsidR="001820A0" w:rsidRPr="00210405" w:rsidRDefault="001820A0" w:rsidP="007A21E4">
      <w:pPr>
        <w:pStyle w:val="Akapitzlist"/>
        <w:numPr>
          <w:ilvl w:val="2"/>
          <w:numId w:val="15"/>
        </w:numPr>
        <w:tabs>
          <w:tab w:val="left" w:pos="820"/>
          <w:tab w:val="left" w:pos="821"/>
        </w:tabs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instrukcje producenta mieszanki tynkarskiej,</w:t>
      </w:r>
    </w:p>
    <w:p w14:paraId="15310EB4" w14:textId="77777777" w:rsidR="001820A0" w:rsidRPr="00210405" w:rsidRDefault="001820A0" w:rsidP="007A21E4">
      <w:pPr>
        <w:pStyle w:val="Akapitzlist"/>
        <w:numPr>
          <w:ilvl w:val="2"/>
          <w:numId w:val="15"/>
        </w:numPr>
        <w:tabs>
          <w:tab w:val="left" w:pos="821"/>
        </w:tabs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wyniki badań laboratoryjnych i ekspertyz.</w:t>
      </w:r>
    </w:p>
    <w:p w14:paraId="160DC724" w14:textId="77777777" w:rsidR="001820A0" w:rsidRPr="00210405" w:rsidRDefault="001820A0" w:rsidP="001820A0">
      <w:pPr>
        <w:pStyle w:val="Tekstpodstawowy"/>
        <w:spacing w:before="1" w:line="242" w:lineRule="auto"/>
        <w:ind w:right="102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 toku odbioru komisja obowiązana jest zapoznać się z przedłożonymi dokumentami, przeprowadzić badania zgodnie z wytycznymi podanymi w pkt. 6.4 niniejszej ST, porównać je z wymaganiami podanymi w dokumentacji projektowej i niniejszej (szczegółowej) specyfikacji technicznej robót tynkarskich, opracowanej dla odbieranego przedmiotu zamówienia, oraz dokonać oceny wizualnej.</w:t>
      </w:r>
    </w:p>
    <w:p w14:paraId="299D68F3" w14:textId="77777777" w:rsidR="001820A0" w:rsidRPr="00210405" w:rsidRDefault="001820A0" w:rsidP="001820A0">
      <w:pPr>
        <w:pStyle w:val="Tekstpodstawowy"/>
        <w:ind w:right="107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Tynki zwykłe wewnętrzne i zewnętrzne powinny być odebrane, jeżeli wszystkie wyniki badań są pozytywne, a dostarczone przez wykonawcę dokumenty są kompletne i prawidłowe pod względem merytorycznym.</w:t>
      </w:r>
    </w:p>
    <w:p w14:paraId="16D006F3" w14:textId="77777777" w:rsidR="001820A0" w:rsidRPr="00210405" w:rsidRDefault="001820A0" w:rsidP="001820A0">
      <w:pPr>
        <w:pStyle w:val="Tekstpodstawowy"/>
        <w:spacing w:before="7"/>
        <w:ind w:right="116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Jeżeli chociażby jeden wynik badań był negatywny tynki nie powinny być odebrane. W takim przypadku należy wybrać jedno z następujących rozwiązań:</w:t>
      </w:r>
    </w:p>
    <w:p w14:paraId="45A7557E" w14:textId="77777777" w:rsidR="001820A0" w:rsidRPr="00210405" w:rsidRDefault="001820A0" w:rsidP="007A21E4">
      <w:pPr>
        <w:pStyle w:val="Akapitzlist"/>
        <w:numPr>
          <w:ilvl w:val="0"/>
          <w:numId w:val="2"/>
        </w:numPr>
        <w:tabs>
          <w:tab w:val="left" w:pos="821"/>
        </w:tabs>
        <w:spacing w:before="4"/>
        <w:ind w:right="11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jeżeli to możliwe należy ustalić zakres prac korygujących, usunąć nieprawidłowości wykonania tynków w stosunku do wymagań określonych w dokumentacji projektowej i niniejszej specyfikacji technicznej (szczegółowej) i przedstawić je ponownie do odbioru,</w:t>
      </w:r>
    </w:p>
    <w:p w14:paraId="3F87ABF9" w14:textId="77777777" w:rsidR="001820A0" w:rsidRPr="00210405" w:rsidRDefault="001820A0" w:rsidP="007A21E4">
      <w:pPr>
        <w:pStyle w:val="Akapitzlist"/>
        <w:numPr>
          <w:ilvl w:val="0"/>
          <w:numId w:val="2"/>
        </w:numPr>
        <w:tabs>
          <w:tab w:val="left" w:pos="821"/>
        </w:tabs>
        <w:spacing w:before="3" w:line="242" w:lineRule="auto"/>
        <w:ind w:right="110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jeżeli odchylenia od wymagań nie zagrażają bezpieczeństwu użytkownika i trwałości tynku zamawiający może wyrazić zgodę na dokonanie odbioru końcowego z jednoczesnym obniżeniem wartości wynagrodzenia w stosunku do ustaleń umownych,</w:t>
      </w:r>
    </w:p>
    <w:p w14:paraId="52DD4A32" w14:textId="77777777" w:rsidR="001820A0" w:rsidRPr="00210405" w:rsidRDefault="001820A0" w:rsidP="007A21E4">
      <w:pPr>
        <w:pStyle w:val="Akapitzlist"/>
        <w:numPr>
          <w:ilvl w:val="0"/>
          <w:numId w:val="2"/>
        </w:numPr>
        <w:tabs>
          <w:tab w:val="left" w:pos="820"/>
          <w:tab w:val="left" w:pos="821"/>
        </w:tabs>
        <w:spacing w:before="92"/>
        <w:ind w:right="115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w przypadku, gdy nie są możliwe podane wyżej rozwiązania wykonawca zobowiązany jest usunąć wadliwie wykonany tynk, wykonać go ponownie i powtórnie zgłosić do odbioru.</w:t>
      </w:r>
    </w:p>
    <w:p w14:paraId="0E7438BC" w14:textId="77777777" w:rsidR="001820A0" w:rsidRPr="00210405" w:rsidRDefault="001820A0" w:rsidP="001820A0">
      <w:pPr>
        <w:pStyle w:val="Tekstpodstawowy"/>
        <w:spacing w:before="1"/>
        <w:ind w:right="615" w:firstLine="708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W przypadku niekompletności dokumentów odbiór może być dokonany po ich uzupełnieniu.</w:t>
      </w:r>
    </w:p>
    <w:p w14:paraId="1BB12C3C" w14:textId="77777777" w:rsidR="001820A0" w:rsidRPr="00210405" w:rsidRDefault="001820A0" w:rsidP="001820A0">
      <w:pPr>
        <w:pStyle w:val="Tekstpodstawowy"/>
        <w:tabs>
          <w:tab w:val="left" w:pos="1170"/>
          <w:tab w:val="left" w:pos="2366"/>
          <w:tab w:val="left" w:pos="3378"/>
          <w:tab w:val="left" w:pos="4616"/>
          <w:tab w:val="left" w:pos="5117"/>
          <w:tab w:val="left" w:pos="6191"/>
          <w:tab w:val="left" w:pos="7467"/>
          <w:tab w:val="left" w:pos="8220"/>
        </w:tabs>
        <w:spacing w:before="4"/>
        <w:ind w:right="109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Z</w:t>
      </w:r>
      <w:r w:rsidRPr="00210405">
        <w:rPr>
          <w:rFonts w:asciiTheme="minorHAnsi" w:hAnsiTheme="minorHAnsi" w:cstheme="minorHAnsi"/>
        </w:rPr>
        <w:tab/>
        <w:t>czynności</w:t>
      </w:r>
      <w:r w:rsidRPr="00210405">
        <w:rPr>
          <w:rFonts w:asciiTheme="minorHAnsi" w:hAnsiTheme="minorHAnsi" w:cstheme="minorHAnsi"/>
        </w:rPr>
        <w:tab/>
        <w:t>odbioru</w:t>
      </w:r>
      <w:r w:rsidRPr="00210405">
        <w:rPr>
          <w:rFonts w:asciiTheme="minorHAnsi" w:hAnsiTheme="minorHAnsi" w:cstheme="minorHAnsi"/>
        </w:rPr>
        <w:tab/>
        <w:t>sporządza</w:t>
      </w:r>
      <w:r w:rsidRPr="00210405">
        <w:rPr>
          <w:rFonts w:asciiTheme="minorHAnsi" w:hAnsiTheme="minorHAnsi" w:cstheme="minorHAnsi"/>
        </w:rPr>
        <w:tab/>
        <w:t>się</w:t>
      </w:r>
      <w:r w:rsidRPr="00210405">
        <w:rPr>
          <w:rFonts w:asciiTheme="minorHAnsi" w:hAnsiTheme="minorHAnsi" w:cstheme="minorHAnsi"/>
        </w:rPr>
        <w:tab/>
        <w:t>protokół</w:t>
      </w:r>
      <w:r w:rsidRPr="00210405">
        <w:rPr>
          <w:rFonts w:asciiTheme="minorHAnsi" w:hAnsiTheme="minorHAnsi" w:cstheme="minorHAnsi"/>
        </w:rPr>
        <w:tab/>
        <w:t>podpisany</w:t>
      </w:r>
      <w:r w:rsidRPr="00210405">
        <w:rPr>
          <w:rFonts w:asciiTheme="minorHAnsi" w:hAnsiTheme="minorHAnsi" w:cstheme="minorHAnsi"/>
        </w:rPr>
        <w:tab/>
        <w:t>przez</w:t>
      </w:r>
      <w:r w:rsidRPr="00210405">
        <w:rPr>
          <w:rFonts w:asciiTheme="minorHAnsi" w:hAnsiTheme="minorHAnsi" w:cstheme="minorHAnsi"/>
        </w:rPr>
        <w:tab/>
        <w:t>przedstawicieli zamawiającego i wykonawcy. Protokół powinien zawierać:</w:t>
      </w:r>
    </w:p>
    <w:p w14:paraId="76FACC84" w14:textId="77777777" w:rsidR="001820A0" w:rsidRPr="00210405" w:rsidRDefault="001820A0" w:rsidP="007A21E4">
      <w:pPr>
        <w:pStyle w:val="Akapitzlist"/>
        <w:numPr>
          <w:ilvl w:val="0"/>
          <w:numId w:val="1"/>
        </w:numPr>
        <w:tabs>
          <w:tab w:val="left" w:pos="821"/>
        </w:tabs>
        <w:spacing w:before="6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ustalenia podjęte w trakcie prac komisji,</w:t>
      </w:r>
    </w:p>
    <w:p w14:paraId="0E84D22D" w14:textId="77777777" w:rsidR="001820A0" w:rsidRPr="00210405" w:rsidRDefault="001820A0" w:rsidP="007A21E4">
      <w:pPr>
        <w:pStyle w:val="Akapitzlist"/>
        <w:numPr>
          <w:ilvl w:val="0"/>
          <w:numId w:val="1"/>
        </w:numPr>
        <w:tabs>
          <w:tab w:val="left" w:pos="821"/>
        </w:tabs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ocenę wyników badań,</w:t>
      </w:r>
    </w:p>
    <w:p w14:paraId="187FC352" w14:textId="77777777" w:rsidR="001820A0" w:rsidRPr="00210405" w:rsidRDefault="001820A0" w:rsidP="007A21E4">
      <w:pPr>
        <w:pStyle w:val="Akapitzlist"/>
        <w:numPr>
          <w:ilvl w:val="0"/>
          <w:numId w:val="1"/>
        </w:numPr>
        <w:tabs>
          <w:tab w:val="left" w:pos="821"/>
        </w:tabs>
        <w:spacing w:before="1"/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wykaz wad i usterek ze wskazaniem sposobu ich usunięcia,</w:t>
      </w:r>
    </w:p>
    <w:p w14:paraId="7874D263" w14:textId="77777777" w:rsidR="001820A0" w:rsidRPr="00210405" w:rsidRDefault="001820A0" w:rsidP="007A21E4">
      <w:pPr>
        <w:pStyle w:val="Akapitzlist"/>
        <w:numPr>
          <w:ilvl w:val="0"/>
          <w:numId w:val="1"/>
        </w:numPr>
        <w:tabs>
          <w:tab w:val="left" w:pos="821"/>
        </w:tabs>
        <w:ind w:hanging="361"/>
        <w:jc w:val="both"/>
        <w:rPr>
          <w:rFonts w:asciiTheme="minorHAnsi" w:hAnsiTheme="minorHAnsi" w:cstheme="minorHAnsi"/>
          <w:sz w:val="20"/>
        </w:rPr>
      </w:pPr>
      <w:r w:rsidRPr="00210405">
        <w:rPr>
          <w:rFonts w:asciiTheme="minorHAnsi" w:hAnsiTheme="minorHAnsi" w:cstheme="minorHAnsi"/>
          <w:sz w:val="20"/>
        </w:rPr>
        <w:t>stwierdzenie zgodności lub niezgodności wykonania tynku zwykłego z zamówieniem.</w:t>
      </w:r>
    </w:p>
    <w:p w14:paraId="34B8299C" w14:textId="77777777" w:rsidR="001820A0" w:rsidRPr="00210405" w:rsidRDefault="001820A0" w:rsidP="001820A0">
      <w:pPr>
        <w:pStyle w:val="Tekstpodstawowy"/>
        <w:spacing w:before="2"/>
        <w:ind w:right="615" w:firstLine="708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Protokół odbioru końcowego jest podstawą do dokonania rozliczenia końcowego pomiędzy zamawiającym a wykonawcą.</w:t>
      </w:r>
    </w:p>
    <w:p w14:paraId="18211313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6"/>
        <w:jc w:val="both"/>
        <w:rPr>
          <w:rFonts w:asciiTheme="minorHAnsi" w:hAnsiTheme="minorHAnsi" w:cstheme="minorHAnsi"/>
        </w:rPr>
      </w:pPr>
      <w:bookmarkStart w:id="42" w:name="_Toc152672451"/>
      <w:r w:rsidRPr="00210405">
        <w:rPr>
          <w:rFonts w:asciiTheme="minorHAnsi" w:hAnsiTheme="minorHAnsi" w:cstheme="minorHAnsi"/>
        </w:rPr>
        <w:t>Odbiór po upływie okresu rękojmi i gwarancji</w:t>
      </w:r>
      <w:bookmarkEnd w:id="42"/>
    </w:p>
    <w:p w14:paraId="47E58BBB" w14:textId="77777777" w:rsidR="001820A0" w:rsidRPr="00210405" w:rsidRDefault="001820A0" w:rsidP="001820A0">
      <w:pPr>
        <w:pStyle w:val="Tekstpodstawowy"/>
        <w:spacing w:before="1"/>
        <w:ind w:right="113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Celem odbioru po okresie rękojmi i gwarancji jest ocena stanu tynku zwykłego po użytkowaniu w tym okresie oraz ocena wykonywanych w tym okresie ewentualnych robót poprawkowych, związanych z usuwaniem zgłoszonych wad.</w:t>
      </w:r>
    </w:p>
    <w:p w14:paraId="4C2E57E1" w14:textId="77777777" w:rsidR="001820A0" w:rsidRPr="00210405" w:rsidRDefault="001820A0" w:rsidP="001820A0">
      <w:pPr>
        <w:pStyle w:val="Tekstpodstawowy"/>
        <w:spacing w:before="6" w:line="244" w:lineRule="auto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Odbiór po upływie okresu rękojmi i gwarancji jest dokonywany na podstawie oceny wizualnej tynku zwykłego, z uwzględnieniem zasad opisanych w pkt. 8.4. „Odbiór ostateczny (końcowy)”.</w:t>
      </w:r>
    </w:p>
    <w:p w14:paraId="28EE2F80" w14:textId="77777777" w:rsidR="001820A0" w:rsidRPr="00210405" w:rsidRDefault="001820A0" w:rsidP="001820A0">
      <w:pPr>
        <w:pStyle w:val="Tekstpodstawowy"/>
        <w:spacing w:line="242" w:lineRule="auto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Pozytywny wynik odbioru pogwarancyjnego jest podstawą do zwrotu kaucji gwarancyjnej, negatywny do ewentualnego dokonania potrąceń wynikających z obniżonej jakości robót.</w:t>
      </w:r>
    </w:p>
    <w:p w14:paraId="54A11665" w14:textId="77777777" w:rsidR="001820A0" w:rsidRPr="00210405" w:rsidRDefault="001820A0" w:rsidP="001820A0">
      <w:pPr>
        <w:pStyle w:val="Tekstpodstawowy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Przed upływem okresu gwarancyjnego zamawiający powinien zgłosić wykonawcy wszystkie zauważone wady w wykonanych robotach tynkowych.</w:t>
      </w:r>
    </w:p>
    <w:p w14:paraId="42E4F2D0" w14:textId="77777777" w:rsidR="001820A0" w:rsidRPr="00210405" w:rsidRDefault="001820A0" w:rsidP="007A21E4">
      <w:pPr>
        <w:pStyle w:val="Nagwek11"/>
        <w:numPr>
          <w:ilvl w:val="0"/>
          <w:numId w:val="15"/>
        </w:numPr>
        <w:tabs>
          <w:tab w:val="left" w:pos="286"/>
        </w:tabs>
        <w:spacing w:before="117"/>
        <w:ind w:right="0"/>
        <w:jc w:val="both"/>
        <w:rPr>
          <w:rFonts w:asciiTheme="minorHAnsi" w:hAnsiTheme="minorHAnsi" w:cstheme="minorHAnsi"/>
        </w:rPr>
      </w:pPr>
      <w:bookmarkStart w:id="43" w:name="_Toc152672452"/>
      <w:r w:rsidRPr="00210405">
        <w:rPr>
          <w:rFonts w:asciiTheme="minorHAnsi" w:hAnsiTheme="minorHAnsi" w:cstheme="minorHAnsi"/>
        </w:rPr>
        <w:t>PODSTAWA PŁATNOŚCI</w:t>
      </w:r>
      <w:bookmarkEnd w:id="43"/>
    </w:p>
    <w:p w14:paraId="6443F266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437"/>
        </w:tabs>
        <w:spacing w:before="125"/>
        <w:jc w:val="both"/>
        <w:rPr>
          <w:rFonts w:asciiTheme="minorHAnsi" w:hAnsiTheme="minorHAnsi" w:cstheme="minorHAnsi"/>
        </w:rPr>
      </w:pPr>
      <w:bookmarkStart w:id="44" w:name="_Toc152672453"/>
      <w:r w:rsidRPr="00210405">
        <w:rPr>
          <w:rFonts w:asciiTheme="minorHAnsi" w:hAnsiTheme="minorHAnsi" w:cstheme="minorHAnsi"/>
        </w:rPr>
        <w:t>Ogólne ustalenia dotyczące podstawy rozliczenia robót</w:t>
      </w:r>
      <w:bookmarkEnd w:id="44"/>
    </w:p>
    <w:p w14:paraId="1DB70EEB" w14:textId="77777777" w:rsidR="001820A0" w:rsidRPr="00210405" w:rsidRDefault="001820A0" w:rsidP="001820A0">
      <w:pPr>
        <w:pStyle w:val="Tekstpodstawowy"/>
        <w:spacing w:before="2"/>
        <w:ind w:right="102" w:firstLine="720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Ogólne ustalenia dotyczące podstawy rozliczenia robót podano w ST „Wymagania ogólne” pkt 9</w:t>
      </w:r>
    </w:p>
    <w:p w14:paraId="12C41B60" w14:textId="77777777" w:rsidR="001820A0" w:rsidRPr="00210405" w:rsidRDefault="001820A0" w:rsidP="007A21E4">
      <w:pPr>
        <w:pStyle w:val="Nagwek11"/>
        <w:numPr>
          <w:ilvl w:val="0"/>
          <w:numId w:val="15"/>
        </w:numPr>
        <w:tabs>
          <w:tab w:val="left" w:pos="408"/>
        </w:tabs>
        <w:spacing w:before="122"/>
        <w:ind w:left="407" w:right="0" w:hanging="308"/>
        <w:jc w:val="both"/>
        <w:rPr>
          <w:rFonts w:asciiTheme="minorHAnsi" w:hAnsiTheme="minorHAnsi" w:cstheme="minorHAnsi"/>
        </w:rPr>
      </w:pPr>
      <w:bookmarkStart w:id="45" w:name="_Toc152672454"/>
      <w:r w:rsidRPr="00210405">
        <w:rPr>
          <w:rFonts w:asciiTheme="minorHAnsi" w:hAnsiTheme="minorHAnsi" w:cstheme="minorHAnsi"/>
        </w:rPr>
        <w:lastRenderedPageBreak/>
        <w:t>DOKUMENTY ODNIESIENIA</w:t>
      </w:r>
      <w:bookmarkEnd w:id="45"/>
    </w:p>
    <w:p w14:paraId="085AE8BA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547"/>
        </w:tabs>
        <w:spacing w:before="125"/>
        <w:ind w:left="546" w:hanging="447"/>
        <w:jc w:val="both"/>
        <w:rPr>
          <w:rFonts w:asciiTheme="minorHAnsi" w:hAnsiTheme="minorHAnsi" w:cstheme="minorHAnsi"/>
        </w:rPr>
      </w:pPr>
      <w:bookmarkStart w:id="46" w:name="_Toc152672455"/>
      <w:r w:rsidRPr="00210405">
        <w:rPr>
          <w:rFonts w:asciiTheme="minorHAnsi" w:hAnsiTheme="minorHAnsi" w:cstheme="minorHAnsi"/>
        </w:rPr>
        <w:t>Normy</w:t>
      </w:r>
      <w:bookmarkEnd w:id="46"/>
    </w:p>
    <w:p w14:paraId="7F2AA79C" w14:textId="77777777" w:rsidR="00BB7147" w:rsidRPr="00A83783" w:rsidRDefault="00BB7147" w:rsidP="00BB7147">
      <w:pPr>
        <w:pStyle w:val="Tekstpodstawowy"/>
        <w:spacing w:before="2" w:line="242" w:lineRule="auto"/>
        <w:rPr>
          <w:rFonts w:asciiTheme="minorHAnsi" w:hAnsiTheme="minorHAnsi" w:cstheme="minorHAnsi"/>
        </w:rPr>
      </w:pPr>
      <w:bookmarkStart w:id="47" w:name="_Toc152672456"/>
      <w:r w:rsidRPr="00A83783">
        <w:rPr>
          <w:rFonts w:asciiTheme="minorHAnsi" w:hAnsiTheme="minorHAnsi" w:cstheme="minorHAnsi"/>
        </w:rPr>
        <w:t>PN-70/B-10100 Roboty tynkowe. Tynki zwykłe. Wymagania i badania przy odbiorze (Norma wycofana bez zastąpienia).</w:t>
      </w:r>
    </w:p>
    <w:p w14:paraId="226D0BE0" w14:textId="77777777" w:rsidR="00BB7147" w:rsidRPr="00A83783" w:rsidRDefault="00BB7147" w:rsidP="00BB7147">
      <w:pPr>
        <w:pStyle w:val="Tekstpodstawowy"/>
        <w:spacing w:line="242" w:lineRule="exact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PN-90/B-14501 Zaprawy budowlane zwykłe (Norma wycofana bez zastąpienia).</w:t>
      </w:r>
    </w:p>
    <w:p w14:paraId="4C6D621F" w14:textId="77777777" w:rsidR="00BB7147" w:rsidRPr="00A83783" w:rsidRDefault="00BB7147" w:rsidP="00BB7147">
      <w:pPr>
        <w:pStyle w:val="Tekstpodstawowy"/>
        <w:spacing w:before="2" w:line="244" w:lineRule="auto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1015-2:2000 Metody badań zapraw do murów – Pobieranie i przygotowanie próbek zapraw do badań.</w:t>
      </w:r>
    </w:p>
    <w:p w14:paraId="1B5A1F9F" w14:textId="77777777" w:rsidR="00BB7147" w:rsidRPr="00A83783" w:rsidRDefault="00BB7147" w:rsidP="00BB7147">
      <w:pPr>
        <w:pStyle w:val="Tekstpodstawowy"/>
        <w:spacing w:line="239" w:lineRule="exact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1015-2:2000/A1:2007 (u) jw.</w:t>
      </w:r>
    </w:p>
    <w:p w14:paraId="49E94AC0" w14:textId="279E3003" w:rsidR="00BB7147" w:rsidRPr="00A83783" w:rsidRDefault="00BB7147" w:rsidP="00BB7147">
      <w:pPr>
        <w:pStyle w:val="Tekstpodstawowy"/>
        <w:spacing w:before="1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1015-3:2000 Metody badań zapraw do murów – Określenie konsystencji świeżej zaprawy (za pomocą stolika rozpływu).</w:t>
      </w:r>
    </w:p>
    <w:p w14:paraId="15E57408" w14:textId="77777777" w:rsidR="00BB7147" w:rsidRPr="00A83783" w:rsidRDefault="00BB7147" w:rsidP="00BB7147">
      <w:pPr>
        <w:pStyle w:val="Tekstpodstawowy"/>
        <w:spacing w:before="4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1015-3:2000/A1:2005 jw.</w:t>
      </w:r>
    </w:p>
    <w:p w14:paraId="1EA106F0" w14:textId="77777777" w:rsidR="00BB7147" w:rsidRPr="00A83783" w:rsidRDefault="00BB7147" w:rsidP="00BB7147">
      <w:pPr>
        <w:pStyle w:val="Tekstpodstawowy"/>
        <w:spacing w:before="2" w:line="244" w:lineRule="auto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1015-4:2000 Metody badań zapraw do murów – Określenie konsystencji świeżej zaprawy (za pomocą penetrometru).</w:t>
      </w:r>
    </w:p>
    <w:p w14:paraId="2293E939" w14:textId="77777777" w:rsidR="00BB7147" w:rsidRPr="00A83783" w:rsidRDefault="00BB7147" w:rsidP="00BB7147">
      <w:pPr>
        <w:pStyle w:val="Tekstpodstawowy"/>
        <w:spacing w:line="242" w:lineRule="auto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1015-12:2002 Metody badań zapraw do murów – Część 12: Określenie przyczepności do podłoża stwardniałych zapraw na obrzutkę i do tynkowania.</w:t>
      </w:r>
    </w:p>
    <w:p w14:paraId="1F6706DA" w14:textId="77777777" w:rsidR="00BB7147" w:rsidRPr="00A83783" w:rsidRDefault="00BB7147" w:rsidP="00BB7147">
      <w:pPr>
        <w:pStyle w:val="Tekstpodstawowy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1015-19:2000 Metody badań zapraw do murów – Określenie współczynnika przenoszenia pary wodnej w stwardniałych zaprawach na obrzutkę i do tynkowania.</w:t>
      </w:r>
    </w:p>
    <w:p w14:paraId="4E7E9630" w14:textId="77777777" w:rsidR="00BB7147" w:rsidRPr="00A83783" w:rsidRDefault="00BB7147" w:rsidP="00BB7147">
      <w:pPr>
        <w:pStyle w:val="Tekstpodstawowy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1015-19:2000/A1:2005 jw.</w:t>
      </w:r>
    </w:p>
    <w:p w14:paraId="695483BB" w14:textId="77777777" w:rsidR="00BB7147" w:rsidRPr="00A83783" w:rsidRDefault="00BB7147" w:rsidP="00BB7147">
      <w:pPr>
        <w:pStyle w:val="Tekstpodstawowy"/>
        <w:spacing w:before="3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197-1:2002 Cement – Część 1: Skład, wymagania i kryteria zgodności dotyczące cementów powszechnego użytku.</w:t>
      </w:r>
    </w:p>
    <w:p w14:paraId="6A4E8408" w14:textId="77777777" w:rsidR="00BB7147" w:rsidRPr="00A83783" w:rsidRDefault="00BB7147" w:rsidP="00BB7147">
      <w:pPr>
        <w:pStyle w:val="Tekstpodstawowy"/>
        <w:spacing w:before="3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197-1:2002/A1:2005 jw.</w:t>
      </w:r>
    </w:p>
    <w:p w14:paraId="612C24B6" w14:textId="77777777" w:rsidR="00BB7147" w:rsidRPr="00A83783" w:rsidRDefault="00BB7147" w:rsidP="00BB7147">
      <w:pPr>
        <w:pStyle w:val="Tekstpodstawowy"/>
        <w:spacing w:before="2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197-2:2002 Cement – Część 2: Ocena zgodności.</w:t>
      </w:r>
    </w:p>
    <w:p w14:paraId="758932FB" w14:textId="77777777" w:rsidR="00BB7147" w:rsidRPr="00A83783" w:rsidRDefault="00BB7147" w:rsidP="00BB7147">
      <w:pPr>
        <w:pStyle w:val="Tekstpodstawowy"/>
        <w:spacing w:before="1"/>
        <w:ind w:right="896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 xml:space="preserve">PN-EN 459-1:2003 Wapno budowlane – Część 1: Definicje, wymagania i kryteria zgodności. </w:t>
      </w:r>
    </w:p>
    <w:p w14:paraId="2B75B15C" w14:textId="77777777" w:rsidR="00BB7147" w:rsidRPr="00A83783" w:rsidRDefault="00BB7147" w:rsidP="00BB7147">
      <w:pPr>
        <w:pStyle w:val="Tekstpodstawowy"/>
        <w:spacing w:before="1"/>
        <w:ind w:right="896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459-2:2003 Wapno budowlane – Część 2: Metody badań.</w:t>
      </w:r>
    </w:p>
    <w:p w14:paraId="5D21D8BB" w14:textId="77777777" w:rsidR="00BB7147" w:rsidRPr="00A83783" w:rsidRDefault="00BB7147" w:rsidP="00BB7147">
      <w:pPr>
        <w:pStyle w:val="Tekstpodstawowy"/>
        <w:spacing w:before="6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459-3:2003 Wapno budowlane – Część 3: Ocena zgodności.</w:t>
      </w:r>
    </w:p>
    <w:p w14:paraId="7684749E" w14:textId="77777777" w:rsidR="00BB7147" w:rsidRPr="00A83783" w:rsidRDefault="00BB7147" w:rsidP="00BB7147">
      <w:pPr>
        <w:pStyle w:val="Tekstpodstawowy"/>
        <w:spacing w:before="2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1008-1:2004 Woda zarobowa do betonu. Specyfikacja pobierania próbek, badanie i ocena przydatności wody zarobowej do betonu, w tym wody odzyskanej z procesów produkcji betonu.</w:t>
      </w:r>
    </w:p>
    <w:p w14:paraId="527AC6CF" w14:textId="77777777" w:rsidR="00BB7147" w:rsidRPr="00A83783" w:rsidRDefault="00BB7147" w:rsidP="00BB7147">
      <w:pPr>
        <w:pStyle w:val="Tekstpodstawowy"/>
        <w:spacing w:before="92" w:line="242" w:lineRule="auto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934-6:2002 Domieszki do betonu, zaprawy i zaczynu – Część 6: Pobieranie próbek, kontrola zgodności i ocena zgodności.</w:t>
      </w:r>
    </w:p>
    <w:p w14:paraId="4B29E551" w14:textId="77777777" w:rsidR="00BB7147" w:rsidRPr="00A83783" w:rsidRDefault="00BB7147" w:rsidP="00BB7147">
      <w:pPr>
        <w:pStyle w:val="Tekstpodstawowy"/>
        <w:spacing w:line="242" w:lineRule="exact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934-6:2002/A1:2006 jw.</w:t>
      </w:r>
    </w:p>
    <w:p w14:paraId="214F2068" w14:textId="77777777" w:rsidR="00BB7147" w:rsidRPr="00A83783" w:rsidRDefault="00BB7147" w:rsidP="00BB7147">
      <w:pPr>
        <w:pStyle w:val="Tekstpodstawowy"/>
        <w:spacing w:before="1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PN-B-30041:1997 Spoiwa gipsowe – Gips budowlany.</w:t>
      </w:r>
    </w:p>
    <w:p w14:paraId="739AF04C" w14:textId="77777777" w:rsidR="00BB7147" w:rsidRPr="00A83783" w:rsidRDefault="00BB7147" w:rsidP="00BB7147">
      <w:pPr>
        <w:pStyle w:val="Tekstpodstawowy"/>
        <w:spacing w:before="2"/>
        <w:ind w:right="1883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 xml:space="preserve">PN-B-30042:1997 Spoiwa gipsowe – Gips szpachlowy, gips tynkarski i klej gipsowy. </w:t>
      </w:r>
    </w:p>
    <w:p w14:paraId="1A018E7F" w14:textId="77777777" w:rsidR="00BB7147" w:rsidRPr="00A83783" w:rsidRDefault="00BB7147" w:rsidP="00BB7147">
      <w:pPr>
        <w:pStyle w:val="Tekstpodstawowy"/>
        <w:spacing w:before="2"/>
        <w:ind w:right="1883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PN-B-30042:1997/Az1:2006 jw.</w:t>
      </w:r>
    </w:p>
    <w:p w14:paraId="48C44D6B" w14:textId="77777777" w:rsidR="00BB7147" w:rsidRPr="00A83783" w:rsidRDefault="00BB7147" w:rsidP="00BB7147">
      <w:pPr>
        <w:pStyle w:val="Tekstpodstawowy"/>
        <w:spacing w:before="6"/>
        <w:ind w:right="3576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 xml:space="preserve">PN-92/B-01302 Gips, anhydryt i wyroby gipsowe – Terminologia. </w:t>
      </w:r>
    </w:p>
    <w:p w14:paraId="2DDACCF3" w14:textId="77777777" w:rsidR="00BB7147" w:rsidRPr="00A83783" w:rsidRDefault="00BB7147" w:rsidP="00BB7147">
      <w:pPr>
        <w:pStyle w:val="Tekstpodstawowy"/>
        <w:spacing w:before="6"/>
        <w:ind w:right="3576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13139:2003 Kruszywa do zaprawy.</w:t>
      </w:r>
    </w:p>
    <w:p w14:paraId="3DF56044" w14:textId="77777777" w:rsidR="00BB7147" w:rsidRPr="00A83783" w:rsidRDefault="00BB7147" w:rsidP="00BB7147">
      <w:pPr>
        <w:pStyle w:val="Tekstpodstawowy"/>
        <w:spacing w:before="3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>PN-EN 13139:2003/AC:2004 jw.</w:t>
      </w:r>
    </w:p>
    <w:p w14:paraId="485CAEB3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547"/>
        </w:tabs>
        <w:spacing w:before="122"/>
        <w:ind w:left="546" w:hanging="447"/>
        <w:jc w:val="both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Ustawy</w:t>
      </w:r>
      <w:bookmarkEnd w:id="47"/>
    </w:p>
    <w:p w14:paraId="26A6D2E9" w14:textId="77777777" w:rsidR="001820A0" w:rsidRPr="00210405" w:rsidRDefault="001820A0" w:rsidP="001820A0">
      <w:pPr>
        <w:pStyle w:val="Tekstpodstawowy"/>
        <w:spacing w:before="2" w:line="242" w:lineRule="auto"/>
        <w:ind w:right="115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 xml:space="preserve">-Ustawa z dnia 16 kwietnia 2004 r. o wyrobach budowlanych (Dz. U. z 2004 r. Nr 92, poz. 881). </w:t>
      </w:r>
    </w:p>
    <w:p w14:paraId="68F5EBDD" w14:textId="77777777" w:rsidR="001820A0" w:rsidRPr="00210405" w:rsidRDefault="001820A0" w:rsidP="001820A0">
      <w:pPr>
        <w:pStyle w:val="Tekstpodstawowy"/>
        <w:spacing w:before="2" w:line="242" w:lineRule="auto"/>
        <w:ind w:right="115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 xml:space="preserve">-Ustawa z dnia 30 sierpnia 2002 r. o systemie oceny zgodności (tekst jednolity Dz. U. z 2004 r. Nr 204, poz. 2087 z </w:t>
      </w:r>
      <w:proofErr w:type="spellStart"/>
      <w:r w:rsidRPr="00210405">
        <w:rPr>
          <w:rFonts w:asciiTheme="minorHAnsi" w:hAnsiTheme="minorHAnsi" w:cstheme="minorHAnsi"/>
        </w:rPr>
        <w:t>późn</w:t>
      </w:r>
      <w:proofErr w:type="spellEnd"/>
      <w:r w:rsidRPr="00210405">
        <w:rPr>
          <w:rFonts w:asciiTheme="minorHAnsi" w:hAnsiTheme="minorHAnsi" w:cstheme="minorHAnsi"/>
        </w:rPr>
        <w:t>. zmianami).</w:t>
      </w:r>
    </w:p>
    <w:p w14:paraId="3D667878" w14:textId="77777777" w:rsidR="001820A0" w:rsidRPr="00210405" w:rsidRDefault="001820A0" w:rsidP="001820A0">
      <w:pPr>
        <w:pStyle w:val="Tekstpodstawowy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 xml:space="preserve">-Ustawa z dnia 7 lipca 1994 r. Prawo budowlane (tekst jednolity Dz. U. z 2006 r. Nr 156, poz. 1118 z </w:t>
      </w:r>
      <w:proofErr w:type="spellStart"/>
      <w:r w:rsidRPr="00210405">
        <w:rPr>
          <w:rFonts w:asciiTheme="minorHAnsi" w:hAnsiTheme="minorHAnsi" w:cstheme="minorHAnsi"/>
        </w:rPr>
        <w:t>późn</w:t>
      </w:r>
      <w:proofErr w:type="spellEnd"/>
      <w:r w:rsidRPr="00210405">
        <w:rPr>
          <w:rFonts w:asciiTheme="minorHAnsi" w:hAnsiTheme="minorHAnsi" w:cstheme="minorHAnsi"/>
        </w:rPr>
        <w:t>. zmianami).</w:t>
      </w:r>
    </w:p>
    <w:p w14:paraId="1F285EC0" w14:textId="77777777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547"/>
        </w:tabs>
        <w:spacing w:before="122"/>
        <w:ind w:left="546" w:hanging="447"/>
        <w:jc w:val="both"/>
        <w:rPr>
          <w:rFonts w:asciiTheme="minorHAnsi" w:hAnsiTheme="minorHAnsi" w:cstheme="minorHAnsi"/>
        </w:rPr>
      </w:pPr>
      <w:bookmarkStart w:id="48" w:name="_Toc152672457"/>
      <w:r w:rsidRPr="00210405">
        <w:rPr>
          <w:rFonts w:asciiTheme="minorHAnsi" w:hAnsiTheme="minorHAnsi" w:cstheme="minorHAnsi"/>
        </w:rPr>
        <w:t>Rozporządzenia</w:t>
      </w:r>
      <w:bookmarkEnd w:id="48"/>
    </w:p>
    <w:p w14:paraId="39B103DE" w14:textId="74BEAC41" w:rsidR="009E74A0" w:rsidRPr="00A83783" w:rsidRDefault="001820A0" w:rsidP="009E74A0">
      <w:pPr>
        <w:pStyle w:val="Tekstpodstawowy"/>
        <w:spacing w:before="2" w:line="242" w:lineRule="auto"/>
        <w:ind w:right="108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-</w:t>
      </w:r>
      <w:r w:rsidR="009E74A0" w:rsidRPr="009E74A0">
        <w:rPr>
          <w:rFonts w:asciiTheme="minorHAnsi" w:hAnsiTheme="minorHAnsi" w:cstheme="minorHAnsi"/>
        </w:rPr>
        <w:t xml:space="preserve"> </w:t>
      </w:r>
      <w:r w:rsidR="009E74A0" w:rsidRPr="00A83783">
        <w:rPr>
          <w:rFonts w:asciiTheme="minorHAnsi" w:hAnsiTheme="minorHAnsi" w:cstheme="minorHAnsi"/>
        </w:rPr>
        <w:t xml:space="preserve">Rozporządzenie Ministra Infrastruktury z dnia 02.09.2004 r. w sprawie szczegółowego zakresu i formy dokumentacji projektowej, specyfikacji technicznych wykonania i odbioru robót budowlanych oraz programu funkcjonalno-użytkowego (Dz. U. z 2004 r. Nr 202, poz. 2072, zmiana Dz. U. z 2005 r. Nr 75, poz. 664 z </w:t>
      </w:r>
      <w:proofErr w:type="spellStart"/>
      <w:r w:rsidR="009E74A0" w:rsidRPr="00A83783">
        <w:rPr>
          <w:rFonts w:asciiTheme="minorHAnsi" w:hAnsiTheme="minorHAnsi" w:cstheme="minorHAnsi"/>
        </w:rPr>
        <w:t>późn</w:t>
      </w:r>
      <w:proofErr w:type="spellEnd"/>
      <w:r w:rsidR="009E74A0" w:rsidRPr="00A83783">
        <w:rPr>
          <w:rFonts w:asciiTheme="minorHAnsi" w:hAnsiTheme="minorHAnsi" w:cstheme="minorHAnsi"/>
        </w:rPr>
        <w:t>. zmianami).</w:t>
      </w:r>
    </w:p>
    <w:p w14:paraId="6AC7A657" w14:textId="116D9D13" w:rsidR="001820A0" w:rsidRPr="00210405" w:rsidRDefault="009E74A0" w:rsidP="009E74A0">
      <w:pPr>
        <w:pStyle w:val="Tekstpodstawowy"/>
        <w:ind w:right="103"/>
        <w:rPr>
          <w:rFonts w:asciiTheme="minorHAnsi" w:hAnsiTheme="minorHAnsi" w:cstheme="minorHAnsi"/>
        </w:rPr>
      </w:pPr>
      <w:r w:rsidRPr="00A83783">
        <w:rPr>
          <w:rFonts w:asciiTheme="minorHAnsi" w:hAnsiTheme="minorHAnsi" w:cstheme="minorHAnsi"/>
        </w:rPr>
        <w:t xml:space="preserve">-Rozporządzenie Ministra Infrastruktury z dnia 03.07.2003 r. w sprawie szczegółowego zakresu i formy projektu budowlanego (Dz. U. z 2003 r. Nr 120, poz. 1133 z </w:t>
      </w:r>
      <w:proofErr w:type="spellStart"/>
      <w:r w:rsidRPr="00A83783">
        <w:rPr>
          <w:rFonts w:asciiTheme="minorHAnsi" w:hAnsiTheme="minorHAnsi" w:cstheme="minorHAnsi"/>
        </w:rPr>
        <w:t>późn</w:t>
      </w:r>
      <w:proofErr w:type="spellEnd"/>
      <w:r w:rsidRPr="00A83783">
        <w:rPr>
          <w:rFonts w:asciiTheme="minorHAnsi" w:hAnsiTheme="minorHAnsi" w:cstheme="minorHAnsi"/>
        </w:rPr>
        <w:t>. zmianami).</w:t>
      </w:r>
    </w:p>
    <w:p w14:paraId="43C5F9AC" w14:textId="77777777" w:rsidR="009E74A0" w:rsidRDefault="001820A0" w:rsidP="009E74A0">
      <w:pPr>
        <w:pStyle w:val="Tekstpodstawowy"/>
        <w:ind w:right="103"/>
        <w:rPr>
          <w:rFonts w:asciiTheme="minorHAnsi" w:hAnsiTheme="minorHAnsi" w:cstheme="minorHAnsi"/>
          <w:shd w:val="clear" w:color="auto" w:fill="FFFFFF"/>
        </w:rPr>
      </w:pPr>
      <w:r w:rsidRPr="00210405">
        <w:rPr>
          <w:rFonts w:asciiTheme="minorHAnsi" w:hAnsiTheme="minorHAnsi" w:cstheme="minorHAnsi"/>
        </w:rPr>
        <w:t>-</w:t>
      </w:r>
      <w:r w:rsidR="009E74A0" w:rsidRPr="009E74A0">
        <w:rPr>
          <w:rFonts w:asciiTheme="minorHAnsi" w:hAnsiTheme="minorHAnsi" w:cstheme="minorHAnsi"/>
        </w:rPr>
        <w:t xml:space="preserve"> </w:t>
      </w:r>
      <w:r w:rsidR="009E74A0" w:rsidRPr="00A83783">
        <w:rPr>
          <w:rFonts w:asciiTheme="minorHAnsi" w:hAnsiTheme="minorHAnsi" w:cstheme="minorHAnsi"/>
        </w:rPr>
        <w:t xml:space="preserve">Rozporządzenie Ministra Rozwoju i Technologii z dnia 22 grudnia 2022 r. w sprawie dziennika budowy oraz systemu Elektroniczny Dziennik Budowy (Dz. U.2023.0.45) oraz </w:t>
      </w:r>
      <w:r w:rsidR="009E74A0" w:rsidRPr="00A83783">
        <w:rPr>
          <w:rFonts w:asciiTheme="minorHAnsi" w:hAnsiTheme="minorHAnsi" w:cstheme="minorHAnsi"/>
          <w:color w:val="212529"/>
          <w:shd w:val="clear" w:color="auto" w:fill="FFFFFF"/>
        </w:rPr>
        <w:t>sprawy projektowania, budowy, utrzymania i rozbiórki obiektów budowlanych, a także dane dotyczące tablicy informacyjnej oraz bezpieczeństwa pracy i ochrony zdrowia</w:t>
      </w:r>
      <w:r w:rsidR="009E74A0" w:rsidRPr="00A83783">
        <w:rPr>
          <w:rFonts w:asciiTheme="minorHAnsi" w:hAnsiTheme="minorHAnsi" w:cstheme="minorHAnsi"/>
          <w:shd w:val="clear" w:color="auto" w:fill="FFFFFF"/>
        </w:rPr>
        <w:t xml:space="preserve"> Dz.U.2024.725.</w:t>
      </w:r>
    </w:p>
    <w:p w14:paraId="0E9B4ADF" w14:textId="1B9A5775" w:rsidR="001820A0" w:rsidRPr="00210405" w:rsidRDefault="001820A0" w:rsidP="009E74A0">
      <w:pPr>
        <w:pStyle w:val="Tekstpodstawowy"/>
        <w:ind w:right="103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-</w:t>
      </w:r>
      <w:r w:rsidR="009E74A0" w:rsidRPr="009E74A0">
        <w:rPr>
          <w:rFonts w:asciiTheme="minorHAnsi" w:hAnsiTheme="minorHAnsi" w:cstheme="minorHAnsi"/>
        </w:rPr>
        <w:t xml:space="preserve"> </w:t>
      </w:r>
      <w:r w:rsidR="009E74A0" w:rsidRPr="00A83783">
        <w:rPr>
          <w:rFonts w:asciiTheme="minorHAnsi" w:hAnsiTheme="minorHAnsi" w:cstheme="minorHAnsi"/>
        </w:rPr>
        <w:t>Obwieszczenie Ministra Rozwoju i Technologii z dnia 28 marca 2023 r. w sprawie ogłoszenia jednolitego tekstu rozporządzenia Ministra Infrastruktury i Budownictwa w sprawie sposobu deklarowania właściwości użytkowych wyrobów budowlanych oraz sposobu znakowania ich znakiem budowlanym.</w:t>
      </w:r>
    </w:p>
    <w:p w14:paraId="7693F8FE" w14:textId="4FA66461" w:rsidR="001820A0" w:rsidRPr="00210405" w:rsidRDefault="001820A0" w:rsidP="001820A0">
      <w:pPr>
        <w:pStyle w:val="Tekstpodstawowy"/>
        <w:spacing w:before="5" w:line="242" w:lineRule="auto"/>
        <w:ind w:right="111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lastRenderedPageBreak/>
        <w:t>-</w:t>
      </w:r>
      <w:r w:rsidR="009E74A0" w:rsidRPr="009E74A0">
        <w:rPr>
          <w:rFonts w:asciiTheme="minorHAnsi" w:hAnsiTheme="minorHAnsi" w:cstheme="minorHAnsi"/>
        </w:rPr>
        <w:t xml:space="preserve"> </w:t>
      </w:r>
      <w:r w:rsidR="009E74A0" w:rsidRPr="00A83783">
        <w:rPr>
          <w:rFonts w:asciiTheme="minorHAnsi" w:hAnsiTheme="minorHAnsi" w:cstheme="minorHAnsi"/>
        </w:rPr>
        <w:t xml:space="preserve">Rozporządzenie Ministra Infrastruktury z dnia 12 kwietnia 2002 r. w sprawie warunków technicznych, jakim powinny odpowiadać budynki i ich usytuowanie (Dz. U. z 2002 r. Nr 75, poz. 690 z </w:t>
      </w:r>
      <w:proofErr w:type="spellStart"/>
      <w:r w:rsidR="009E74A0" w:rsidRPr="00A83783">
        <w:rPr>
          <w:rFonts w:asciiTheme="minorHAnsi" w:hAnsiTheme="minorHAnsi" w:cstheme="minorHAnsi"/>
        </w:rPr>
        <w:t>późn</w:t>
      </w:r>
      <w:proofErr w:type="spellEnd"/>
      <w:r w:rsidR="009E74A0" w:rsidRPr="00A83783">
        <w:rPr>
          <w:rFonts w:asciiTheme="minorHAnsi" w:hAnsiTheme="minorHAnsi" w:cstheme="minorHAnsi"/>
        </w:rPr>
        <w:t>. zmianami).</w:t>
      </w:r>
    </w:p>
    <w:p w14:paraId="25C41A04" w14:textId="1C0AAE78" w:rsidR="001820A0" w:rsidRPr="00210405" w:rsidRDefault="001820A0" w:rsidP="007A21E4">
      <w:pPr>
        <w:pStyle w:val="Nagwek21"/>
        <w:numPr>
          <w:ilvl w:val="1"/>
          <w:numId w:val="15"/>
        </w:numPr>
        <w:tabs>
          <w:tab w:val="left" w:pos="547"/>
        </w:tabs>
        <w:ind w:left="546" w:hanging="447"/>
        <w:jc w:val="both"/>
        <w:rPr>
          <w:rFonts w:asciiTheme="minorHAnsi" w:hAnsiTheme="minorHAnsi" w:cstheme="minorHAnsi"/>
        </w:rPr>
      </w:pPr>
      <w:bookmarkStart w:id="49" w:name="_Toc152672458"/>
      <w:r w:rsidRPr="00210405">
        <w:rPr>
          <w:rFonts w:asciiTheme="minorHAnsi" w:hAnsiTheme="minorHAnsi" w:cstheme="minorHAnsi"/>
        </w:rPr>
        <w:t>Inne dokumenty i instrukcje</w:t>
      </w:r>
      <w:bookmarkEnd w:id="49"/>
    </w:p>
    <w:p w14:paraId="6F26DB19" w14:textId="77777777" w:rsidR="001820A0" w:rsidRPr="00210405" w:rsidRDefault="001820A0" w:rsidP="001820A0">
      <w:pPr>
        <w:pStyle w:val="Tekstpodstawowy"/>
        <w:spacing w:before="2"/>
        <w:ind w:right="106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 xml:space="preserve">-Specyfikacja techniczna wykonania i odbioru robót budowlanych – Wymagania ogólne Kod CPV 45000000-7, wydanie </w:t>
      </w:r>
      <w:r w:rsidR="00D67E16" w:rsidRPr="00210405">
        <w:rPr>
          <w:rFonts w:asciiTheme="minorHAnsi" w:hAnsiTheme="minorHAnsi" w:cstheme="minorHAnsi"/>
        </w:rPr>
        <w:t xml:space="preserve"> </w:t>
      </w:r>
      <w:r w:rsidRPr="00210405">
        <w:rPr>
          <w:rFonts w:asciiTheme="minorHAnsi" w:hAnsiTheme="minorHAnsi" w:cstheme="minorHAnsi"/>
        </w:rPr>
        <w:t>II OWEOB Promocja – 2005 rok.</w:t>
      </w:r>
    </w:p>
    <w:p w14:paraId="40B05182" w14:textId="77777777" w:rsidR="001820A0" w:rsidRPr="00210405" w:rsidRDefault="001820A0" w:rsidP="001820A0">
      <w:pPr>
        <w:pStyle w:val="Tekstpodstawowy"/>
        <w:spacing w:before="4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-Warunki techniczne wykonania i odbioru robót budowlanych, Część B – Roboty wykończeniowe, zeszyt 1 „Tynki”, wydanie ITB – 2003 rok.</w:t>
      </w:r>
    </w:p>
    <w:p w14:paraId="4733B2C8" w14:textId="77777777" w:rsidR="001820A0" w:rsidRPr="00210405" w:rsidRDefault="001820A0" w:rsidP="001820A0">
      <w:pPr>
        <w:pStyle w:val="Tekstpodstawowy"/>
        <w:spacing w:before="6"/>
        <w:rPr>
          <w:rFonts w:asciiTheme="minorHAnsi" w:hAnsiTheme="minorHAnsi" w:cstheme="minorHAnsi"/>
        </w:rPr>
      </w:pPr>
      <w:r w:rsidRPr="00210405">
        <w:rPr>
          <w:rFonts w:asciiTheme="minorHAnsi" w:hAnsiTheme="minorHAnsi" w:cstheme="minorHAnsi"/>
        </w:rPr>
        <w:t>-Warunki techniczne wykonania i odbioru robót budowlanych tom 1 część 4, wydanie Arkady – 1990 rok.</w:t>
      </w:r>
    </w:p>
    <w:p w14:paraId="255E723B" w14:textId="77777777" w:rsidR="007717BE" w:rsidRPr="00210405" w:rsidRDefault="001820A0" w:rsidP="00AC32E6">
      <w:pPr>
        <w:pStyle w:val="Tekstpodstawowy"/>
        <w:spacing w:before="3"/>
        <w:rPr>
          <w:rFonts w:asciiTheme="minorHAnsi" w:hAnsiTheme="minorHAnsi" w:cstheme="minorHAnsi"/>
          <w:color w:val="000000" w:themeColor="text1"/>
        </w:rPr>
      </w:pPr>
      <w:r w:rsidRPr="00210405">
        <w:rPr>
          <w:rFonts w:asciiTheme="minorHAnsi" w:hAnsiTheme="minorHAnsi" w:cstheme="minorHAnsi"/>
        </w:rPr>
        <w:t>-Atlas Budowlany, miesięcznik, wydanie specjalne 1998 rok.</w:t>
      </w:r>
    </w:p>
    <w:sectPr w:rsidR="007717BE" w:rsidRPr="00210405" w:rsidSect="007A21E4">
      <w:pgSz w:w="11910" w:h="16840"/>
      <w:pgMar w:top="1440" w:right="1080" w:bottom="1440" w:left="1080" w:header="839" w:footer="61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48B7D" w14:textId="77777777" w:rsidR="00AD1BA9" w:rsidRDefault="00AD1BA9" w:rsidP="00F1568B">
      <w:r>
        <w:separator/>
      </w:r>
    </w:p>
  </w:endnote>
  <w:endnote w:type="continuationSeparator" w:id="0">
    <w:p w14:paraId="46F23DFE" w14:textId="77777777" w:rsidR="00AD1BA9" w:rsidRDefault="00AD1BA9" w:rsidP="00F1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7383566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B8F9CD9" w14:textId="77777777" w:rsidR="006C141A" w:rsidRDefault="006C141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AB2014">
          <w:rPr>
            <w:noProof/>
            <w:sz w:val="20"/>
            <w:szCs w:val="20"/>
            <w:lang w:eastAsia="pl-PL"/>
          </w:rPr>
          <w:drawing>
            <wp:inline distT="0" distB="0" distL="0" distR="0" wp14:anchorId="01E259C3" wp14:editId="639A49A1">
              <wp:extent cx="5760720" cy="499745"/>
              <wp:effectExtent l="0" t="0" r="0" b="0"/>
              <wp:docPr id="1866561877" name="Obraz 186656187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65565126" name="Obraz 1065565126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4997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3F80F29F" w14:textId="77777777" w:rsidR="006C141A" w:rsidRPr="00343742" w:rsidRDefault="006C141A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343742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="00091A4B" w:rsidRPr="00343742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343742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091A4B" w:rsidRPr="00343742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204714" w:rsidRPr="00204714">
          <w:rPr>
            <w:rFonts w:ascii="Times New Roman" w:eastAsiaTheme="majorEastAsia" w:hAnsi="Times New Roman" w:cs="Times New Roman"/>
            <w:noProof/>
            <w:sz w:val="20"/>
            <w:szCs w:val="20"/>
          </w:rPr>
          <w:t>8</w:t>
        </w:r>
        <w:r w:rsidR="00091A4B" w:rsidRPr="00343742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50E883AB" w14:textId="77777777" w:rsidR="00E76ABD" w:rsidRDefault="00E76ABD">
    <w:pPr>
      <w:pStyle w:val="Tekstpodstawowy"/>
      <w:spacing w:line="14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06491" w14:textId="77777777" w:rsidR="00AD1BA9" w:rsidRDefault="00AD1BA9" w:rsidP="00F1568B">
      <w:r>
        <w:separator/>
      </w:r>
    </w:p>
  </w:footnote>
  <w:footnote w:type="continuationSeparator" w:id="0">
    <w:p w14:paraId="51DBC9D4" w14:textId="77777777" w:rsidR="00AD1BA9" w:rsidRDefault="00AD1BA9" w:rsidP="00F15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405D4" w14:textId="77777777" w:rsidR="00E36929" w:rsidRDefault="00E36929">
    <w:pPr>
      <w:pStyle w:val="Tekstpodstawowy"/>
      <w:spacing w:line="14" w:lineRule="auto"/>
      <w:ind w:left="0"/>
      <w:rPr>
        <w:noProof/>
      </w:rPr>
    </w:pPr>
  </w:p>
  <w:p w14:paraId="55E05E05" w14:textId="77777777" w:rsidR="00E76ABD" w:rsidRDefault="00E76ABD">
    <w:pPr>
      <w:pStyle w:val="Tekstpodstawowy"/>
      <w:spacing w:line="14" w:lineRule="auto"/>
      <w:ind w:left="0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FCB2BAC" wp14:editId="10575847">
          <wp:simplePos x="0" y="0"/>
          <wp:positionH relativeFrom="margin">
            <wp:align>left</wp:align>
          </wp:positionH>
          <wp:positionV relativeFrom="page">
            <wp:posOffset>344601</wp:posOffset>
          </wp:positionV>
          <wp:extent cx="6467475" cy="848360"/>
          <wp:effectExtent l="0" t="0" r="9525" b="8890"/>
          <wp:wrapSquare wrapText="bothSides"/>
          <wp:docPr id="325818501" name="Obraz 3258185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84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20CF9"/>
    <w:multiLevelType w:val="hybridMultilevel"/>
    <w:tmpl w:val="CF6257DA"/>
    <w:lvl w:ilvl="0" w:tplc="BA189A8C">
      <w:start w:val="1"/>
      <w:numFmt w:val="decimal"/>
      <w:lvlText w:val="%1)"/>
      <w:lvlJc w:val="left"/>
      <w:pPr>
        <w:ind w:left="820" w:hanging="363"/>
      </w:pPr>
      <w:rPr>
        <w:rFonts w:ascii="Times New Roman" w:eastAsia="Verdana" w:hAnsi="Times New Roman" w:cs="Times New Roman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F49A4CD4">
      <w:numFmt w:val="bullet"/>
      <w:lvlText w:val="•"/>
      <w:lvlJc w:val="left"/>
      <w:pPr>
        <w:ind w:left="1712" w:hanging="363"/>
      </w:pPr>
      <w:rPr>
        <w:rFonts w:hint="default"/>
        <w:lang w:val="pl-PL" w:eastAsia="en-US" w:bidi="ar-SA"/>
      </w:rPr>
    </w:lvl>
    <w:lvl w:ilvl="2" w:tplc="B7060066">
      <w:numFmt w:val="bullet"/>
      <w:lvlText w:val="•"/>
      <w:lvlJc w:val="left"/>
      <w:pPr>
        <w:ind w:left="2605" w:hanging="363"/>
      </w:pPr>
      <w:rPr>
        <w:rFonts w:hint="default"/>
        <w:lang w:val="pl-PL" w:eastAsia="en-US" w:bidi="ar-SA"/>
      </w:rPr>
    </w:lvl>
    <w:lvl w:ilvl="3" w:tplc="81B68C1C">
      <w:numFmt w:val="bullet"/>
      <w:lvlText w:val="•"/>
      <w:lvlJc w:val="left"/>
      <w:pPr>
        <w:ind w:left="3497" w:hanging="363"/>
      </w:pPr>
      <w:rPr>
        <w:rFonts w:hint="default"/>
        <w:lang w:val="pl-PL" w:eastAsia="en-US" w:bidi="ar-SA"/>
      </w:rPr>
    </w:lvl>
    <w:lvl w:ilvl="4" w:tplc="6FD0E8E8">
      <w:numFmt w:val="bullet"/>
      <w:lvlText w:val="•"/>
      <w:lvlJc w:val="left"/>
      <w:pPr>
        <w:ind w:left="4390" w:hanging="363"/>
      </w:pPr>
      <w:rPr>
        <w:rFonts w:hint="default"/>
        <w:lang w:val="pl-PL" w:eastAsia="en-US" w:bidi="ar-SA"/>
      </w:rPr>
    </w:lvl>
    <w:lvl w:ilvl="5" w:tplc="C6006132">
      <w:numFmt w:val="bullet"/>
      <w:lvlText w:val="•"/>
      <w:lvlJc w:val="left"/>
      <w:pPr>
        <w:ind w:left="5283" w:hanging="363"/>
      </w:pPr>
      <w:rPr>
        <w:rFonts w:hint="default"/>
        <w:lang w:val="pl-PL" w:eastAsia="en-US" w:bidi="ar-SA"/>
      </w:rPr>
    </w:lvl>
    <w:lvl w:ilvl="6" w:tplc="0FA0AE76">
      <w:numFmt w:val="bullet"/>
      <w:lvlText w:val="•"/>
      <w:lvlJc w:val="left"/>
      <w:pPr>
        <w:ind w:left="6175" w:hanging="363"/>
      </w:pPr>
      <w:rPr>
        <w:rFonts w:hint="default"/>
        <w:lang w:val="pl-PL" w:eastAsia="en-US" w:bidi="ar-SA"/>
      </w:rPr>
    </w:lvl>
    <w:lvl w:ilvl="7" w:tplc="7C30A8D2">
      <w:numFmt w:val="bullet"/>
      <w:lvlText w:val="•"/>
      <w:lvlJc w:val="left"/>
      <w:pPr>
        <w:ind w:left="7068" w:hanging="363"/>
      </w:pPr>
      <w:rPr>
        <w:rFonts w:hint="default"/>
        <w:lang w:val="pl-PL" w:eastAsia="en-US" w:bidi="ar-SA"/>
      </w:rPr>
    </w:lvl>
    <w:lvl w:ilvl="8" w:tplc="0360DD76">
      <w:numFmt w:val="bullet"/>
      <w:lvlText w:val="•"/>
      <w:lvlJc w:val="left"/>
      <w:pPr>
        <w:ind w:left="7961" w:hanging="363"/>
      </w:pPr>
      <w:rPr>
        <w:rFonts w:hint="default"/>
        <w:lang w:val="pl-PL" w:eastAsia="en-US" w:bidi="ar-SA"/>
      </w:rPr>
    </w:lvl>
  </w:abstractNum>
  <w:abstractNum w:abstractNumId="1" w15:restartNumberingAfterBreak="0">
    <w:nsid w:val="172401D8"/>
    <w:multiLevelType w:val="hybridMultilevel"/>
    <w:tmpl w:val="C6EA907C"/>
    <w:lvl w:ilvl="0" w:tplc="761EC604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EC46D30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366E80B0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44526210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5E6A60B4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4BCC5E7C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3964226C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0C988062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BB58A848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5E575E3"/>
    <w:multiLevelType w:val="hybridMultilevel"/>
    <w:tmpl w:val="A0F68220"/>
    <w:lvl w:ilvl="0" w:tplc="A312903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D045270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08EA5CB0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6164A9D2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588C4CE0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83A6E610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A1F0F69A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F90618FC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EABCEDBC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1D328F1"/>
    <w:multiLevelType w:val="hybridMultilevel"/>
    <w:tmpl w:val="C718753C"/>
    <w:lvl w:ilvl="0" w:tplc="FC085FC0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3D65B3C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A0288A08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FAA8BF14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FCE8D908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AAEEEE06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E5CED37C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BA20FFF4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BCD85F8E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86D7EF1"/>
    <w:multiLevelType w:val="multilevel"/>
    <w:tmpl w:val="C74E7D34"/>
    <w:lvl w:ilvl="0">
      <w:start w:val="6"/>
      <w:numFmt w:val="decimal"/>
      <w:lvlText w:val="%1"/>
      <w:lvlJc w:val="left"/>
      <w:pPr>
        <w:ind w:left="604" w:hanging="505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604" w:hanging="505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604" w:hanging="505"/>
      </w:pPr>
      <w:rPr>
        <w:rFonts w:ascii="Times New Roman" w:eastAsia="Verdana" w:hAnsi="Times New Roman" w:cs="Times New Roman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820" w:hanging="360"/>
      </w:pPr>
      <w:rPr>
        <w:rFonts w:ascii="Times New Roman" w:eastAsia="Verdana" w:hAnsi="Times New Roman" w:cs="Times New Roman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87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79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7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2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8A978DE"/>
    <w:multiLevelType w:val="hybridMultilevel"/>
    <w:tmpl w:val="9750783C"/>
    <w:lvl w:ilvl="0" w:tplc="119E3D14">
      <w:start w:val="1"/>
      <w:numFmt w:val="lowerLetter"/>
      <w:lvlText w:val="%1)"/>
      <w:lvlJc w:val="left"/>
      <w:pPr>
        <w:ind w:left="820" w:hanging="360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1" w:tplc="014C0A56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015456BE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3DCC1DDA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B732A10C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C408DF1E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39A037A8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7E4A7F5E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C3DC631C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4444259C"/>
    <w:multiLevelType w:val="hybridMultilevel"/>
    <w:tmpl w:val="07DAA1DC"/>
    <w:lvl w:ilvl="0" w:tplc="142E779E">
      <w:numFmt w:val="bullet"/>
      <w:lvlText w:val="•"/>
      <w:lvlJc w:val="left"/>
      <w:pPr>
        <w:ind w:left="386" w:hanging="287"/>
      </w:pPr>
      <w:rPr>
        <w:rFonts w:ascii="Verdana" w:eastAsia="Verdana" w:hAnsi="Verdana" w:cs="Verdana" w:hint="default"/>
        <w:w w:val="110"/>
        <w:sz w:val="20"/>
        <w:szCs w:val="20"/>
        <w:lang w:val="pl-PL" w:eastAsia="en-US" w:bidi="ar-SA"/>
      </w:rPr>
    </w:lvl>
    <w:lvl w:ilvl="1" w:tplc="80EAF632">
      <w:numFmt w:val="bullet"/>
      <w:lvlText w:val="•"/>
      <w:lvlJc w:val="left"/>
      <w:pPr>
        <w:ind w:left="1316" w:hanging="287"/>
      </w:pPr>
      <w:rPr>
        <w:rFonts w:hint="default"/>
        <w:lang w:val="pl-PL" w:eastAsia="en-US" w:bidi="ar-SA"/>
      </w:rPr>
    </w:lvl>
    <w:lvl w:ilvl="2" w:tplc="640232E6">
      <w:numFmt w:val="bullet"/>
      <w:lvlText w:val="•"/>
      <w:lvlJc w:val="left"/>
      <w:pPr>
        <w:ind w:left="2253" w:hanging="287"/>
      </w:pPr>
      <w:rPr>
        <w:rFonts w:hint="default"/>
        <w:lang w:val="pl-PL" w:eastAsia="en-US" w:bidi="ar-SA"/>
      </w:rPr>
    </w:lvl>
    <w:lvl w:ilvl="3" w:tplc="2A60F972">
      <w:numFmt w:val="bullet"/>
      <w:lvlText w:val="•"/>
      <w:lvlJc w:val="left"/>
      <w:pPr>
        <w:ind w:left="3189" w:hanging="287"/>
      </w:pPr>
      <w:rPr>
        <w:rFonts w:hint="default"/>
        <w:lang w:val="pl-PL" w:eastAsia="en-US" w:bidi="ar-SA"/>
      </w:rPr>
    </w:lvl>
    <w:lvl w:ilvl="4" w:tplc="1DA6BD04">
      <w:numFmt w:val="bullet"/>
      <w:lvlText w:val="•"/>
      <w:lvlJc w:val="left"/>
      <w:pPr>
        <w:ind w:left="4126" w:hanging="287"/>
      </w:pPr>
      <w:rPr>
        <w:rFonts w:hint="default"/>
        <w:lang w:val="pl-PL" w:eastAsia="en-US" w:bidi="ar-SA"/>
      </w:rPr>
    </w:lvl>
    <w:lvl w:ilvl="5" w:tplc="D708CE0E">
      <w:numFmt w:val="bullet"/>
      <w:lvlText w:val="•"/>
      <w:lvlJc w:val="left"/>
      <w:pPr>
        <w:ind w:left="5063" w:hanging="287"/>
      </w:pPr>
      <w:rPr>
        <w:rFonts w:hint="default"/>
        <w:lang w:val="pl-PL" w:eastAsia="en-US" w:bidi="ar-SA"/>
      </w:rPr>
    </w:lvl>
    <w:lvl w:ilvl="6" w:tplc="7A64F4A4">
      <w:numFmt w:val="bullet"/>
      <w:lvlText w:val="•"/>
      <w:lvlJc w:val="left"/>
      <w:pPr>
        <w:ind w:left="5999" w:hanging="287"/>
      </w:pPr>
      <w:rPr>
        <w:rFonts w:hint="default"/>
        <w:lang w:val="pl-PL" w:eastAsia="en-US" w:bidi="ar-SA"/>
      </w:rPr>
    </w:lvl>
    <w:lvl w:ilvl="7" w:tplc="EB00F0FE">
      <w:numFmt w:val="bullet"/>
      <w:lvlText w:val="•"/>
      <w:lvlJc w:val="left"/>
      <w:pPr>
        <w:ind w:left="6936" w:hanging="287"/>
      </w:pPr>
      <w:rPr>
        <w:rFonts w:hint="default"/>
        <w:lang w:val="pl-PL" w:eastAsia="en-US" w:bidi="ar-SA"/>
      </w:rPr>
    </w:lvl>
    <w:lvl w:ilvl="8" w:tplc="04B043F2">
      <w:numFmt w:val="bullet"/>
      <w:lvlText w:val="•"/>
      <w:lvlJc w:val="left"/>
      <w:pPr>
        <w:ind w:left="7873" w:hanging="287"/>
      </w:pPr>
      <w:rPr>
        <w:rFonts w:hint="default"/>
        <w:lang w:val="pl-PL" w:eastAsia="en-US" w:bidi="ar-SA"/>
      </w:rPr>
    </w:lvl>
  </w:abstractNum>
  <w:abstractNum w:abstractNumId="7" w15:restartNumberingAfterBreak="0">
    <w:nsid w:val="47304F15"/>
    <w:multiLevelType w:val="multilevel"/>
    <w:tmpl w:val="8876BD02"/>
    <w:lvl w:ilvl="0">
      <w:start w:val="1"/>
      <w:numFmt w:val="decimal"/>
      <w:lvlText w:val="%1"/>
      <w:lvlJc w:val="left"/>
      <w:pPr>
        <w:ind w:left="285" w:hanging="186"/>
      </w:pPr>
      <w:rPr>
        <w:rFonts w:ascii="Times New Roman" w:eastAsia="Verdana" w:hAnsi="Times New Roman" w:cs="Times New Roman" w:hint="default"/>
        <w:b/>
        <w:bCs/>
        <w:w w:val="100"/>
        <w:sz w:val="24"/>
        <w:szCs w:val="24"/>
        <w:u w:val="single" w:color="00000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36" w:hanging="337"/>
      </w:pPr>
      <w:rPr>
        <w:rFonts w:ascii="Times New Roman" w:eastAsia="Verdana" w:hAnsi="Times New Roman" w:cs="Times New Roman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20" w:hanging="360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8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095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37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64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2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96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FEF4529"/>
    <w:multiLevelType w:val="multilevel"/>
    <w:tmpl w:val="E9B446E0"/>
    <w:lvl w:ilvl="0">
      <w:start w:val="6"/>
      <w:numFmt w:val="decimal"/>
      <w:lvlText w:val="%1"/>
      <w:lvlJc w:val="left"/>
      <w:pPr>
        <w:ind w:left="604" w:hanging="505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604" w:hanging="505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604" w:hanging="505"/>
      </w:pPr>
      <w:rPr>
        <w:rFonts w:ascii="Times New Roman" w:eastAsia="Verdana" w:hAnsi="Times New Roman" w:cs="Times New Roman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820" w:hanging="360"/>
      </w:pPr>
      <w:rPr>
        <w:rFonts w:ascii="Times New Roman" w:eastAsia="Verdana" w:hAnsi="Times New Roman" w:cs="Times New Roman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87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79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7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2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51FE3D9A"/>
    <w:multiLevelType w:val="hybridMultilevel"/>
    <w:tmpl w:val="83722066"/>
    <w:lvl w:ilvl="0" w:tplc="34FC21C4">
      <w:start w:val="1"/>
      <w:numFmt w:val="lowerLetter"/>
      <w:lvlText w:val="%1)"/>
      <w:lvlJc w:val="left"/>
      <w:pPr>
        <w:ind w:left="820" w:hanging="360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1" w:tplc="583EAF02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61DA6AF4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77009F9A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5F664622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1BBC5E36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BFBADFC2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BB9CD8F6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DF6834A4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65CB7754"/>
    <w:multiLevelType w:val="hybridMultilevel"/>
    <w:tmpl w:val="49686D9A"/>
    <w:lvl w:ilvl="0" w:tplc="17DC95C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10A9212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65E6944A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7E1A2A74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F6B64C12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B67C2772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CBC49FBE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DA102920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F3B61F4E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6ACA1998"/>
    <w:multiLevelType w:val="hybridMultilevel"/>
    <w:tmpl w:val="7C6A4F48"/>
    <w:lvl w:ilvl="0" w:tplc="E45AE674">
      <w:start w:val="1"/>
      <w:numFmt w:val="lowerLetter"/>
      <w:lvlText w:val="%1)"/>
      <w:lvlJc w:val="left"/>
      <w:pPr>
        <w:ind w:left="386" w:hanging="287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1" w:tplc="D6ECA5F2">
      <w:numFmt w:val="bullet"/>
      <w:lvlText w:val="•"/>
      <w:lvlJc w:val="left"/>
      <w:pPr>
        <w:ind w:left="1316" w:hanging="287"/>
      </w:pPr>
      <w:rPr>
        <w:rFonts w:hint="default"/>
        <w:lang w:val="pl-PL" w:eastAsia="en-US" w:bidi="ar-SA"/>
      </w:rPr>
    </w:lvl>
    <w:lvl w:ilvl="2" w:tplc="E39C576C">
      <w:numFmt w:val="bullet"/>
      <w:lvlText w:val="•"/>
      <w:lvlJc w:val="left"/>
      <w:pPr>
        <w:ind w:left="2253" w:hanging="287"/>
      </w:pPr>
      <w:rPr>
        <w:rFonts w:hint="default"/>
        <w:lang w:val="pl-PL" w:eastAsia="en-US" w:bidi="ar-SA"/>
      </w:rPr>
    </w:lvl>
    <w:lvl w:ilvl="3" w:tplc="261C5752">
      <w:numFmt w:val="bullet"/>
      <w:lvlText w:val="•"/>
      <w:lvlJc w:val="left"/>
      <w:pPr>
        <w:ind w:left="3189" w:hanging="287"/>
      </w:pPr>
      <w:rPr>
        <w:rFonts w:hint="default"/>
        <w:lang w:val="pl-PL" w:eastAsia="en-US" w:bidi="ar-SA"/>
      </w:rPr>
    </w:lvl>
    <w:lvl w:ilvl="4" w:tplc="7592D0BC">
      <w:numFmt w:val="bullet"/>
      <w:lvlText w:val="•"/>
      <w:lvlJc w:val="left"/>
      <w:pPr>
        <w:ind w:left="4126" w:hanging="287"/>
      </w:pPr>
      <w:rPr>
        <w:rFonts w:hint="default"/>
        <w:lang w:val="pl-PL" w:eastAsia="en-US" w:bidi="ar-SA"/>
      </w:rPr>
    </w:lvl>
    <w:lvl w:ilvl="5" w:tplc="3C340408">
      <w:numFmt w:val="bullet"/>
      <w:lvlText w:val="•"/>
      <w:lvlJc w:val="left"/>
      <w:pPr>
        <w:ind w:left="5063" w:hanging="287"/>
      </w:pPr>
      <w:rPr>
        <w:rFonts w:hint="default"/>
        <w:lang w:val="pl-PL" w:eastAsia="en-US" w:bidi="ar-SA"/>
      </w:rPr>
    </w:lvl>
    <w:lvl w:ilvl="6" w:tplc="21D0AF72">
      <w:numFmt w:val="bullet"/>
      <w:lvlText w:val="•"/>
      <w:lvlJc w:val="left"/>
      <w:pPr>
        <w:ind w:left="5999" w:hanging="287"/>
      </w:pPr>
      <w:rPr>
        <w:rFonts w:hint="default"/>
        <w:lang w:val="pl-PL" w:eastAsia="en-US" w:bidi="ar-SA"/>
      </w:rPr>
    </w:lvl>
    <w:lvl w:ilvl="7" w:tplc="149646AA">
      <w:numFmt w:val="bullet"/>
      <w:lvlText w:val="•"/>
      <w:lvlJc w:val="left"/>
      <w:pPr>
        <w:ind w:left="6936" w:hanging="287"/>
      </w:pPr>
      <w:rPr>
        <w:rFonts w:hint="default"/>
        <w:lang w:val="pl-PL" w:eastAsia="en-US" w:bidi="ar-SA"/>
      </w:rPr>
    </w:lvl>
    <w:lvl w:ilvl="8" w:tplc="33302C14">
      <w:numFmt w:val="bullet"/>
      <w:lvlText w:val="•"/>
      <w:lvlJc w:val="left"/>
      <w:pPr>
        <w:ind w:left="7873" w:hanging="287"/>
      </w:pPr>
      <w:rPr>
        <w:rFonts w:hint="default"/>
        <w:lang w:val="pl-PL" w:eastAsia="en-US" w:bidi="ar-SA"/>
      </w:rPr>
    </w:lvl>
  </w:abstractNum>
  <w:abstractNum w:abstractNumId="12" w15:restartNumberingAfterBreak="0">
    <w:nsid w:val="762B3150"/>
    <w:multiLevelType w:val="hybridMultilevel"/>
    <w:tmpl w:val="EDB27B90"/>
    <w:lvl w:ilvl="0" w:tplc="C3C4B7C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9203CE0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AEBCE406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5CC09AB8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07A6D5B6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291A4312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71762338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74903354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A7200B0E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77A83E72"/>
    <w:multiLevelType w:val="hybridMultilevel"/>
    <w:tmpl w:val="AE8CA536"/>
    <w:lvl w:ilvl="0" w:tplc="9166842A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91C18F2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786896CC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92E600A2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84B6C014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4DD2C862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E60CF9BA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F91E98A6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ACA009F8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7EBF2823"/>
    <w:multiLevelType w:val="hybridMultilevel"/>
    <w:tmpl w:val="0C6E38D6"/>
    <w:lvl w:ilvl="0" w:tplc="BDA25EFA">
      <w:numFmt w:val="bullet"/>
      <w:lvlText w:val="–"/>
      <w:lvlJc w:val="left"/>
      <w:pPr>
        <w:ind w:left="386" w:hanging="287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14E4C886">
      <w:numFmt w:val="bullet"/>
      <w:lvlText w:val="•"/>
      <w:lvlJc w:val="left"/>
      <w:pPr>
        <w:ind w:left="1316" w:hanging="287"/>
      </w:pPr>
      <w:rPr>
        <w:rFonts w:hint="default"/>
        <w:lang w:val="pl-PL" w:eastAsia="en-US" w:bidi="ar-SA"/>
      </w:rPr>
    </w:lvl>
    <w:lvl w:ilvl="2" w:tplc="4016DE06">
      <w:numFmt w:val="bullet"/>
      <w:lvlText w:val="•"/>
      <w:lvlJc w:val="left"/>
      <w:pPr>
        <w:ind w:left="2253" w:hanging="287"/>
      </w:pPr>
      <w:rPr>
        <w:rFonts w:hint="default"/>
        <w:lang w:val="pl-PL" w:eastAsia="en-US" w:bidi="ar-SA"/>
      </w:rPr>
    </w:lvl>
    <w:lvl w:ilvl="3" w:tplc="363027D8">
      <w:numFmt w:val="bullet"/>
      <w:lvlText w:val="•"/>
      <w:lvlJc w:val="left"/>
      <w:pPr>
        <w:ind w:left="3189" w:hanging="287"/>
      </w:pPr>
      <w:rPr>
        <w:rFonts w:hint="default"/>
        <w:lang w:val="pl-PL" w:eastAsia="en-US" w:bidi="ar-SA"/>
      </w:rPr>
    </w:lvl>
    <w:lvl w:ilvl="4" w:tplc="0A5CCE64">
      <w:numFmt w:val="bullet"/>
      <w:lvlText w:val="•"/>
      <w:lvlJc w:val="left"/>
      <w:pPr>
        <w:ind w:left="4126" w:hanging="287"/>
      </w:pPr>
      <w:rPr>
        <w:rFonts w:hint="default"/>
        <w:lang w:val="pl-PL" w:eastAsia="en-US" w:bidi="ar-SA"/>
      </w:rPr>
    </w:lvl>
    <w:lvl w:ilvl="5" w:tplc="909E9F84">
      <w:numFmt w:val="bullet"/>
      <w:lvlText w:val="•"/>
      <w:lvlJc w:val="left"/>
      <w:pPr>
        <w:ind w:left="5063" w:hanging="287"/>
      </w:pPr>
      <w:rPr>
        <w:rFonts w:hint="default"/>
        <w:lang w:val="pl-PL" w:eastAsia="en-US" w:bidi="ar-SA"/>
      </w:rPr>
    </w:lvl>
    <w:lvl w:ilvl="6" w:tplc="34B67EE4">
      <w:numFmt w:val="bullet"/>
      <w:lvlText w:val="•"/>
      <w:lvlJc w:val="left"/>
      <w:pPr>
        <w:ind w:left="5999" w:hanging="287"/>
      </w:pPr>
      <w:rPr>
        <w:rFonts w:hint="default"/>
        <w:lang w:val="pl-PL" w:eastAsia="en-US" w:bidi="ar-SA"/>
      </w:rPr>
    </w:lvl>
    <w:lvl w:ilvl="7" w:tplc="6CFC5E40">
      <w:numFmt w:val="bullet"/>
      <w:lvlText w:val="•"/>
      <w:lvlJc w:val="left"/>
      <w:pPr>
        <w:ind w:left="6936" w:hanging="287"/>
      </w:pPr>
      <w:rPr>
        <w:rFonts w:hint="default"/>
        <w:lang w:val="pl-PL" w:eastAsia="en-US" w:bidi="ar-SA"/>
      </w:rPr>
    </w:lvl>
    <w:lvl w:ilvl="8" w:tplc="45C653C4">
      <w:numFmt w:val="bullet"/>
      <w:lvlText w:val="•"/>
      <w:lvlJc w:val="left"/>
      <w:pPr>
        <w:ind w:left="7873" w:hanging="287"/>
      </w:pPr>
      <w:rPr>
        <w:rFonts w:hint="default"/>
        <w:lang w:val="pl-PL" w:eastAsia="en-US" w:bidi="ar-SA"/>
      </w:rPr>
    </w:lvl>
  </w:abstractNum>
  <w:num w:numId="1" w16cid:durableId="166553657">
    <w:abstractNumId w:val="9"/>
  </w:num>
  <w:num w:numId="2" w16cid:durableId="1299605565">
    <w:abstractNumId w:val="13"/>
  </w:num>
  <w:num w:numId="3" w16cid:durableId="1736053035">
    <w:abstractNumId w:val="10"/>
  </w:num>
  <w:num w:numId="4" w16cid:durableId="518663520">
    <w:abstractNumId w:val="5"/>
  </w:num>
  <w:num w:numId="5" w16cid:durableId="996150215">
    <w:abstractNumId w:val="8"/>
  </w:num>
  <w:num w:numId="6" w16cid:durableId="1087845860">
    <w:abstractNumId w:val="12"/>
  </w:num>
  <w:num w:numId="7" w16cid:durableId="1996759877">
    <w:abstractNumId w:val="4"/>
  </w:num>
  <w:num w:numId="8" w16cid:durableId="220094504">
    <w:abstractNumId w:val="3"/>
  </w:num>
  <w:num w:numId="9" w16cid:durableId="77361715">
    <w:abstractNumId w:val="1"/>
  </w:num>
  <w:num w:numId="10" w16cid:durableId="205339494">
    <w:abstractNumId w:val="2"/>
  </w:num>
  <w:num w:numId="11" w16cid:durableId="730037205">
    <w:abstractNumId w:val="11"/>
  </w:num>
  <w:num w:numId="12" w16cid:durableId="1579554451">
    <w:abstractNumId w:val="6"/>
  </w:num>
  <w:num w:numId="13" w16cid:durableId="900292085">
    <w:abstractNumId w:val="14"/>
  </w:num>
  <w:num w:numId="14" w16cid:durableId="1089155175">
    <w:abstractNumId w:val="0"/>
  </w:num>
  <w:num w:numId="15" w16cid:durableId="124543212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8B"/>
    <w:rsid w:val="00070988"/>
    <w:rsid w:val="00083F1F"/>
    <w:rsid w:val="00091A4B"/>
    <w:rsid w:val="000C13CC"/>
    <w:rsid w:val="000D5DF6"/>
    <w:rsid w:val="0017123D"/>
    <w:rsid w:val="001803FB"/>
    <w:rsid w:val="001820A0"/>
    <w:rsid w:val="001E3C54"/>
    <w:rsid w:val="00204714"/>
    <w:rsid w:val="00210405"/>
    <w:rsid w:val="002468FD"/>
    <w:rsid w:val="002545ED"/>
    <w:rsid w:val="00272146"/>
    <w:rsid w:val="002B7358"/>
    <w:rsid w:val="002F706E"/>
    <w:rsid w:val="00313ABA"/>
    <w:rsid w:val="00335477"/>
    <w:rsid w:val="00343742"/>
    <w:rsid w:val="00343BCF"/>
    <w:rsid w:val="003E1EB2"/>
    <w:rsid w:val="003F1950"/>
    <w:rsid w:val="00403919"/>
    <w:rsid w:val="00411602"/>
    <w:rsid w:val="00443AD9"/>
    <w:rsid w:val="00466F45"/>
    <w:rsid w:val="004A1FC4"/>
    <w:rsid w:val="004B3A1C"/>
    <w:rsid w:val="004E2569"/>
    <w:rsid w:val="00510379"/>
    <w:rsid w:val="005254E5"/>
    <w:rsid w:val="005653E9"/>
    <w:rsid w:val="00571B7D"/>
    <w:rsid w:val="005A39BD"/>
    <w:rsid w:val="005E1CA7"/>
    <w:rsid w:val="00614240"/>
    <w:rsid w:val="00637996"/>
    <w:rsid w:val="006C141A"/>
    <w:rsid w:val="006D4E36"/>
    <w:rsid w:val="00722C06"/>
    <w:rsid w:val="00736284"/>
    <w:rsid w:val="00752BAA"/>
    <w:rsid w:val="007561A0"/>
    <w:rsid w:val="007717BE"/>
    <w:rsid w:val="007A21E4"/>
    <w:rsid w:val="007C28F0"/>
    <w:rsid w:val="007C4115"/>
    <w:rsid w:val="007D5CB2"/>
    <w:rsid w:val="008001C4"/>
    <w:rsid w:val="0083237D"/>
    <w:rsid w:val="008C3537"/>
    <w:rsid w:val="00917377"/>
    <w:rsid w:val="009216E5"/>
    <w:rsid w:val="009226C3"/>
    <w:rsid w:val="0093218D"/>
    <w:rsid w:val="00935CED"/>
    <w:rsid w:val="00935E0D"/>
    <w:rsid w:val="0098654E"/>
    <w:rsid w:val="009B01A9"/>
    <w:rsid w:val="009B24E6"/>
    <w:rsid w:val="009E74A0"/>
    <w:rsid w:val="00A02479"/>
    <w:rsid w:val="00A115F6"/>
    <w:rsid w:val="00A53B5D"/>
    <w:rsid w:val="00AA3E94"/>
    <w:rsid w:val="00AB2014"/>
    <w:rsid w:val="00AC32E6"/>
    <w:rsid w:val="00AD0E04"/>
    <w:rsid w:val="00AD1BA9"/>
    <w:rsid w:val="00AF4E7B"/>
    <w:rsid w:val="00AF7D44"/>
    <w:rsid w:val="00B95410"/>
    <w:rsid w:val="00BA7D43"/>
    <w:rsid w:val="00BB7147"/>
    <w:rsid w:val="00C22942"/>
    <w:rsid w:val="00C57D3C"/>
    <w:rsid w:val="00C823E5"/>
    <w:rsid w:val="00C8289B"/>
    <w:rsid w:val="00C920B8"/>
    <w:rsid w:val="00CE42C7"/>
    <w:rsid w:val="00CF3EB2"/>
    <w:rsid w:val="00D16DA9"/>
    <w:rsid w:val="00D67E16"/>
    <w:rsid w:val="00DF26FB"/>
    <w:rsid w:val="00E1165E"/>
    <w:rsid w:val="00E36929"/>
    <w:rsid w:val="00E757AD"/>
    <w:rsid w:val="00E76ABD"/>
    <w:rsid w:val="00EB132D"/>
    <w:rsid w:val="00ED2BE0"/>
    <w:rsid w:val="00EF4A32"/>
    <w:rsid w:val="00F1568B"/>
    <w:rsid w:val="00FB4E8C"/>
    <w:rsid w:val="00FE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1A357"/>
  <w15:docId w15:val="{4DD16CE5-ACF3-424F-8E21-E9FDD59F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B132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13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74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74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56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68B"/>
  </w:style>
  <w:style w:type="paragraph" w:styleId="Stopka">
    <w:name w:val="footer"/>
    <w:basedOn w:val="Normalny"/>
    <w:link w:val="StopkaZnak"/>
    <w:uiPriority w:val="99"/>
    <w:unhideWhenUsed/>
    <w:rsid w:val="00F156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568B"/>
  </w:style>
  <w:style w:type="character" w:customStyle="1" w:styleId="Nagwek1Znak">
    <w:name w:val="Nagłówek 1 Znak"/>
    <w:basedOn w:val="Domylnaczcionkaakapitu"/>
    <w:link w:val="Nagwek1"/>
    <w:uiPriority w:val="9"/>
    <w:rsid w:val="00EB132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B132D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EB132D"/>
    <w:pPr>
      <w:spacing w:before="122"/>
      <w:ind w:left="266" w:hanging="167"/>
    </w:pPr>
    <w:rPr>
      <w:b/>
      <w:bCs/>
      <w:sz w:val="20"/>
      <w:szCs w:val="20"/>
    </w:rPr>
  </w:style>
  <w:style w:type="paragraph" w:customStyle="1" w:styleId="Spistreci21">
    <w:name w:val="Spis treści 21"/>
    <w:basedOn w:val="Normalny"/>
    <w:uiPriority w:val="1"/>
    <w:qFormat/>
    <w:rsid w:val="00EB132D"/>
    <w:pPr>
      <w:spacing w:before="2"/>
      <w:ind w:left="659" w:hanging="320"/>
    </w:pPr>
    <w:rPr>
      <w:sz w:val="16"/>
      <w:szCs w:val="16"/>
    </w:rPr>
  </w:style>
  <w:style w:type="paragraph" w:customStyle="1" w:styleId="Spistreci31">
    <w:name w:val="Spis treści 31"/>
    <w:basedOn w:val="Normalny"/>
    <w:uiPriority w:val="1"/>
    <w:qFormat/>
    <w:rsid w:val="00EB132D"/>
    <w:pPr>
      <w:spacing w:before="2"/>
      <w:ind w:left="659" w:hanging="320"/>
    </w:pPr>
    <w:rPr>
      <w:b/>
      <w:bCs/>
      <w:i/>
    </w:rPr>
  </w:style>
  <w:style w:type="paragraph" w:customStyle="1" w:styleId="Spistreci41">
    <w:name w:val="Spis treści 41"/>
    <w:basedOn w:val="Normalny"/>
    <w:uiPriority w:val="1"/>
    <w:qFormat/>
    <w:rsid w:val="00EB132D"/>
    <w:pPr>
      <w:spacing w:before="2"/>
      <w:ind w:left="1077" w:hanging="498"/>
    </w:pPr>
    <w:rPr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EB132D"/>
    <w:pPr>
      <w:ind w:left="100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132D"/>
    <w:rPr>
      <w:rFonts w:ascii="Verdana" w:eastAsia="Verdana" w:hAnsi="Verdana" w:cs="Verdana"/>
      <w:kern w:val="0"/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EB132D"/>
    <w:pPr>
      <w:spacing w:before="1"/>
      <w:ind w:left="875" w:right="5475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B132D"/>
    <w:pPr>
      <w:spacing w:before="120"/>
      <w:ind w:left="285" w:hanging="186"/>
      <w:outlineLvl w:val="2"/>
    </w:pPr>
    <w:rPr>
      <w:b/>
      <w:bCs/>
      <w:u w:val="single" w:color="000000"/>
    </w:rPr>
  </w:style>
  <w:style w:type="paragraph" w:customStyle="1" w:styleId="Nagwek31">
    <w:name w:val="Nagłówek 31"/>
    <w:basedOn w:val="Normalny"/>
    <w:uiPriority w:val="1"/>
    <w:qFormat/>
    <w:rsid w:val="00EB132D"/>
    <w:pPr>
      <w:spacing w:before="122"/>
      <w:ind w:left="436" w:hanging="337"/>
      <w:jc w:val="both"/>
      <w:outlineLvl w:val="3"/>
    </w:pPr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1"/>
    <w:qFormat/>
    <w:rsid w:val="00EB132D"/>
    <w:pPr>
      <w:ind w:left="2159" w:right="2170" w:firstLine="266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"/>
    <w:rsid w:val="00EB132D"/>
    <w:rPr>
      <w:rFonts w:ascii="Verdana" w:eastAsia="Verdana" w:hAnsi="Verdana" w:cs="Verdana"/>
      <w:b/>
      <w:bCs/>
      <w:kern w:val="0"/>
      <w:sz w:val="36"/>
      <w:szCs w:val="36"/>
    </w:rPr>
  </w:style>
  <w:style w:type="paragraph" w:styleId="Akapitzlist">
    <w:name w:val="List Paragraph"/>
    <w:basedOn w:val="Normalny"/>
    <w:uiPriority w:val="34"/>
    <w:qFormat/>
    <w:rsid w:val="00EB132D"/>
    <w:pPr>
      <w:spacing w:before="2"/>
      <w:ind w:left="436" w:hanging="337"/>
    </w:pPr>
  </w:style>
  <w:style w:type="paragraph" w:customStyle="1" w:styleId="TableParagraph">
    <w:name w:val="Table Paragraph"/>
    <w:basedOn w:val="Normalny"/>
    <w:uiPriority w:val="1"/>
    <w:qFormat/>
    <w:rsid w:val="00EB132D"/>
  </w:style>
  <w:style w:type="paragraph" w:styleId="Bezodstpw">
    <w:name w:val="No Spacing"/>
    <w:uiPriority w:val="1"/>
    <w:qFormat/>
    <w:rsid w:val="00EB132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B132D"/>
    <w:pPr>
      <w:widowControl/>
      <w:autoSpaceDE/>
      <w:autoSpaceDN/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2545ED"/>
    <w:pPr>
      <w:tabs>
        <w:tab w:val="left" w:pos="660"/>
        <w:tab w:val="right" w:leader="dot" w:pos="9840"/>
      </w:tabs>
      <w:spacing w:after="100"/>
      <w:ind w:left="142"/>
    </w:pPr>
    <w:rPr>
      <w:rFonts w:ascii="Times New Roman" w:eastAsia="Tahoma" w:hAnsi="Times New Roman" w:cs="Times New Roman"/>
      <w:b/>
      <w:bCs/>
      <w:noProof/>
      <w:w w:val="88"/>
    </w:rPr>
  </w:style>
  <w:style w:type="paragraph" w:styleId="Spistreci3">
    <w:name w:val="toc 3"/>
    <w:basedOn w:val="Normalny"/>
    <w:next w:val="Normalny"/>
    <w:autoRedefine/>
    <w:uiPriority w:val="39"/>
    <w:unhideWhenUsed/>
    <w:rsid w:val="002545ED"/>
    <w:pPr>
      <w:tabs>
        <w:tab w:val="left" w:pos="880"/>
        <w:tab w:val="right" w:leader="dot" w:pos="9781"/>
      </w:tabs>
      <w:spacing w:after="100"/>
      <w:ind w:left="440"/>
    </w:pPr>
    <w:rPr>
      <w:noProof/>
      <w:w w:val="85"/>
    </w:rPr>
  </w:style>
  <w:style w:type="character" w:styleId="Hipercze">
    <w:name w:val="Hyperlink"/>
    <w:basedOn w:val="Domylnaczcionkaakapitu"/>
    <w:uiPriority w:val="99"/>
    <w:unhideWhenUsed/>
    <w:rsid w:val="00EB132D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F706E"/>
    <w:rPr>
      <w:b/>
      <w:bCs/>
    </w:rPr>
  </w:style>
  <w:style w:type="paragraph" w:customStyle="1" w:styleId="Default">
    <w:name w:val="Default"/>
    <w:rsid w:val="001E3C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04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405"/>
    <w:rPr>
      <w:rFonts w:ascii="Tahoma" w:eastAsia="Verdana" w:hAnsi="Tahoma" w:cs="Tahoma"/>
      <w:kern w:val="0"/>
      <w:sz w:val="16"/>
      <w:szCs w:val="16"/>
    </w:rPr>
  </w:style>
  <w:style w:type="table" w:styleId="Tabela-Siatka">
    <w:name w:val="Table Grid"/>
    <w:basedOn w:val="Standardowy"/>
    <w:uiPriority w:val="39"/>
    <w:rsid w:val="00210405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1040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037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0379"/>
    <w:rPr>
      <w:rFonts w:ascii="Verdana" w:eastAsia="Verdana" w:hAnsi="Verdana" w:cs="Verdana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3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379"/>
    <w:rPr>
      <w:rFonts w:ascii="Verdana" w:eastAsia="Verdana" w:hAnsi="Verdana" w:cs="Verdana"/>
      <w:b/>
      <w:bCs/>
      <w:kern w:val="0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74A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74A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84D64-E818-4A9C-97A2-752ADCC7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4910</Words>
  <Characters>29460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Natalia Marlica</cp:lastModifiedBy>
  <cp:revision>7</cp:revision>
  <cp:lastPrinted>2024-11-18T06:32:00Z</cp:lastPrinted>
  <dcterms:created xsi:type="dcterms:W3CDTF">2024-11-13T16:54:00Z</dcterms:created>
  <dcterms:modified xsi:type="dcterms:W3CDTF">2024-11-18T06:32:00Z</dcterms:modified>
</cp:coreProperties>
</file>